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48225" w14:textId="5A65BC3A" w:rsidR="00F331D5" w:rsidRPr="009A699A" w:rsidRDefault="00AD48B6" w:rsidP="00AD48B6">
      <w:pPr>
        <w:spacing w:line="360" w:lineRule="auto"/>
        <w:ind w:left="-450"/>
        <w:jc w:val="center"/>
        <w:rPr>
          <w:rFonts w:ascii="Times New Roman" w:hAnsi="Times New Roman" w:cs="Times New Roman"/>
          <w:b/>
          <w:bCs/>
          <w:color w:val="FF0000"/>
          <w:sz w:val="28"/>
          <w:szCs w:val="28"/>
        </w:rPr>
      </w:pPr>
      <w:r w:rsidRPr="009A699A">
        <w:rPr>
          <w:rFonts w:ascii="Times New Roman" w:hAnsi="Times New Roman" w:cs="Times New Roman"/>
          <w:b/>
          <w:bCs/>
          <w:color w:val="FF0000"/>
          <w:sz w:val="28"/>
          <w:szCs w:val="28"/>
        </w:rPr>
        <w:t>E</w:t>
      </w:r>
      <w:r w:rsidR="00304FC3" w:rsidRPr="009A699A">
        <w:rPr>
          <w:rFonts w:ascii="Times New Roman" w:hAnsi="Times New Roman" w:cs="Times New Roman"/>
          <w:b/>
          <w:bCs/>
          <w:color w:val="FF0000"/>
          <w:sz w:val="28"/>
          <w:szCs w:val="28"/>
        </w:rPr>
        <w:t xml:space="preserve">ffect </w:t>
      </w:r>
      <w:r w:rsidR="009A699A" w:rsidRPr="009A699A">
        <w:rPr>
          <w:rFonts w:ascii="Times New Roman" w:hAnsi="Times New Roman" w:cs="Times New Roman"/>
          <w:b/>
          <w:bCs/>
          <w:color w:val="FF0000"/>
          <w:sz w:val="28"/>
          <w:szCs w:val="28"/>
        </w:rPr>
        <w:t>C</w:t>
      </w:r>
      <w:r w:rsidRPr="009A699A">
        <w:rPr>
          <w:rFonts w:ascii="Times New Roman" w:hAnsi="Times New Roman" w:cs="Times New Roman"/>
          <w:b/>
          <w:bCs/>
          <w:color w:val="FF0000"/>
          <w:sz w:val="28"/>
          <w:szCs w:val="28"/>
        </w:rPr>
        <w:t xml:space="preserve">o-exposure </w:t>
      </w:r>
      <w:r w:rsidR="009A699A" w:rsidRPr="009A699A">
        <w:rPr>
          <w:rFonts w:ascii="Times New Roman" w:hAnsi="Times New Roman" w:cs="Times New Roman"/>
          <w:b/>
          <w:bCs/>
          <w:color w:val="FF0000"/>
          <w:sz w:val="28"/>
          <w:szCs w:val="28"/>
        </w:rPr>
        <w:t>of</w:t>
      </w:r>
      <w:r w:rsidR="00F73BF4" w:rsidRPr="009A699A">
        <w:rPr>
          <w:rFonts w:ascii="Times New Roman" w:hAnsi="Times New Roman" w:cs="Times New Roman"/>
          <w:b/>
          <w:bCs/>
          <w:color w:val="FF0000"/>
          <w:sz w:val="28"/>
          <w:szCs w:val="28"/>
        </w:rPr>
        <w:t xml:space="preserve"> </w:t>
      </w:r>
      <w:r w:rsidR="00F331D5" w:rsidRPr="009A699A">
        <w:rPr>
          <w:rFonts w:ascii="Times New Roman" w:hAnsi="Times New Roman" w:cs="Times New Roman"/>
          <w:b/>
          <w:bCs/>
          <w:color w:val="FF0000"/>
          <w:sz w:val="28"/>
          <w:szCs w:val="28"/>
        </w:rPr>
        <w:t>F</w:t>
      </w:r>
      <w:r w:rsidR="00F73BF4" w:rsidRPr="009A699A">
        <w:rPr>
          <w:rFonts w:ascii="Times New Roman" w:hAnsi="Times New Roman" w:cs="Times New Roman"/>
          <w:b/>
          <w:bCs/>
          <w:color w:val="FF0000"/>
          <w:sz w:val="28"/>
          <w:szCs w:val="28"/>
        </w:rPr>
        <w:t xml:space="preserve">ipronil insecticide and </w:t>
      </w:r>
      <w:r w:rsidR="00F331D5" w:rsidRPr="009A699A">
        <w:rPr>
          <w:rFonts w:ascii="Times New Roman" w:hAnsi="Times New Roman" w:cs="Times New Roman"/>
          <w:b/>
          <w:bCs/>
          <w:color w:val="FF0000"/>
          <w:sz w:val="28"/>
          <w:szCs w:val="28"/>
        </w:rPr>
        <w:t>Potassium-</w:t>
      </w:r>
      <w:r w:rsidR="00F73BF4" w:rsidRPr="009A699A">
        <w:rPr>
          <w:rFonts w:ascii="Times New Roman" w:hAnsi="Times New Roman" w:cs="Times New Roman"/>
          <w:b/>
          <w:bCs/>
          <w:color w:val="FF0000"/>
          <w:sz w:val="28"/>
          <w:szCs w:val="28"/>
        </w:rPr>
        <w:t xml:space="preserve"> dichromate </w:t>
      </w:r>
      <w:r w:rsidR="00304FC3" w:rsidRPr="009A699A">
        <w:rPr>
          <w:rFonts w:ascii="Times New Roman" w:hAnsi="Times New Roman" w:cs="Times New Roman"/>
          <w:b/>
          <w:bCs/>
          <w:color w:val="FF0000"/>
          <w:sz w:val="28"/>
          <w:szCs w:val="28"/>
        </w:rPr>
        <w:t xml:space="preserve">on </w:t>
      </w:r>
      <w:r w:rsidRPr="009A699A">
        <w:rPr>
          <w:rFonts w:ascii="Times New Roman" w:hAnsi="Times New Roman" w:cs="Times New Roman"/>
          <w:b/>
          <w:bCs/>
          <w:color w:val="FF0000"/>
          <w:sz w:val="28"/>
          <w:szCs w:val="28"/>
        </w:rPr>
        <w:t xml:space="preserve">liver of </w:t>
      </w:r>
      <w:r w:rsidR="00304FC3" w:rsidRPr="009A699A">
        <w:rPr>
          <w:rFonts w:ascii="Times New Roman" w:hAnsi="Times New Roman" w:cs="Times New Roman"/>
          <w:b/>
          <w:bCs/>
          <w:color w:val="FF0000"/>
          <w:sz w:val="28"/>
          <w:szCs w:val="28"/>
        </w:rPr>
        <w:t xml:space="preserve">male albino </w:t>
      </w:r>
      <w:r w:rsidR="00F331D5" w:rsidRPr="009A699A">
        <w:rPr>
          <w:rFonts w:ascii="Times New Roman" w:hAnsi="Times New Roman" w:cs="Times New Roman"/>
          <w:b/>
          <w:bCs/>
          <w:color w:val="FF0000"/>
          <w:sz w:val="28"/>
          <w:szCs w:val="28"/>
        </w:rPr>
        <w:t>rat</w:t>
      </w:r>
    </w:p>
    <w:p w14:paraId="5A0031C6" w14:textId="6B31F635" w:rsidR="00F331D5" w:rsidRPr="009A699A" w:rsidRDefault="00F331D5" w:rsidP="00895ABA">
      <w:pPr>
        <w:pStyle w:val="Default"/>
        <w:spacing w:line="360" w:lineRule="auto"/>
        <w:ind w:left="-450"/>
        <w:rPr>
          <w:b/>
          <w:bCs/>
          <w:sz w:val="28"/>
          <w:szCs w:val="28"/>
          <w:vertAlign w:val="superscript"/>
        </w:rPr>
      </w:pPr>
      <w:r w:rsidRPr="009A699A">
        <w:rPr>
          <w:b/>
          <w:bCs/>
          <w:sz w:val="28"/>
          <w:szCs w:val="28"/>
          <w:u w:val="single"/>
        </w:rPr>
        <w:t xml:space="preserve">Shrouk </w:t>
      </w:r>
      <w:r w:rsidR="009A699A" w:rsidRPr="009A699A">
        <w:rPr>
          <w:b/>
          <w:bCs/>
          <w:sz w:val="28"/>
          <w:szCs w:val="28"/>
          <w:u w:val="single"/>
        </w:rPr>
        <w:t>E. Amer</w:t>
      </w:r>
      <w:r w:rsidR="00304FC3" w:rsidRPr="009A699A">
        <w:rPr>
          <w:b/>
          <w:bCs/>
          <w:sz w:val="28"/>
          <w:szCs w:val="28"/>
          <w:vertAlign w:val="superscript"/>
        </w:rPr>
        <w:t xml:space="preserve"> </w:t>
      </w:r>
      <w:r w:rsidRPr="009A699A">
        <w:rPr>
          <w:b/>
          <w:bCs/>
          <w:sz w:val="28"/>
          <w:szCs w:val="28"/>
        </w:rPr>
        <w:t>, Ragab EL-Shawarby, Elham El-Shewy, Sam</w:t>
      </w:r>
      <w:r w:rsidR="009A699A" w:rsidRPr="009A699A">
        <w:rPr>
          <w:b/>
          <w:bCs/>
          <w:sz w:val="28"/>
          <w:szCs w:val="28"/>
        </w:rPr>
        <w:t>a</w:t>
      </w:r>
      <w:r w:rsidRPr="009A699A">
        <w:rPr>
          <w:b/>
          <w:bCs/>
          <w:sz w:val="28"/>
          <w:szCs w:val="28"/>
        </w:rPr>
        <w:t xml:space="preserve">r </w:t>
      </w:r>
      <w:r w:rsidR="00AD48B6" w:rsidRPr="009A699A">
        <w:rPr>
          <w:b/>
          <w:bCs/>
          <w:sz w:val="28"/>
          <w:szCs w:val="28"/>
        </w:rPr>
        <w:t>S.</w:t>
      </w:r>
      <w:r w:rsidRPr="009A699A">
        <w:rPr>
          <w:b/>
          <w:bCs/>
          <w:sz w:val="28"/>
          <w:szCs w:val="28"/>
        </w:rPr>
        <w:t xml:space="preserve"> </w:t>
      </w:r>
      <w:r w:rsidR="009A699A" w:rsidRPr="009A699A">
        <w:rPr>
          <w:b/>
          <w:bCs/>
          <w:sz w:val="28"/>
          <w:szCs w:val="28"/>
        </w:rPr>
        <w:t>Ibrahim</w:t>
      </w:r>
    </w:p>
    <w:p w14:paraId="0401BF90" w14:textId="31EC724D" w:rsidR="00F331D5" w:rsidRPr="009A699A" w:rsidRDefault="009A699A" w:rsidP="00FA6001">
      <w:pPr>
        <w:spacing w:line="360" w:lineRule="auto"/>
        <w:ind w:left="-450"/>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Pr="009A699A">
        <w:rPr>
          <w:rFonts w:ascii="Times New Roman" w:hAnsi="Times New Roman" w:cs="Times New Roman"/>
          <w:b/>
          <w:bCs/>
        </w:rPr>
        <w:t xml:space="preserve">Department of forensic medicine &amp;toxicology. Faculty of Vet. Med. Benha university </w:t>
      </w:r>
    </w:p>
    <w:p w14:paraId="553F4230" w14:textId="77777777" w:rsidR="00F331D5" w:rsidRPr="000D54E6" w:rsidRDefault="00F331D5" w:rsidP="00FA6001">
      <w:pPr>
        <w:autoSpaceDE w:val="0"/>
        <w:autoSpaceDN w:val="0"/>
        <w:adjustRightInd w:val="0"/>
        <w:spacing w:after="0" w:line="360" w:lineRule="auto"/>
        <w:ind w:left="-450"/>
        <w:jc w:val="both"/>
        <w:rPr>
          <w:rFonts w:ascii="Times New Roman" w:hAnsi="Times New Roman" w:cs="Times New Roman"/>
          <w:b/>
          <w:bCs/>
          <w:sz w:val="28"/>
          <w:szCs w:val="28"/>
        </w:rPr>
      </w:pPr>
      <w:r w:rsidRPr="000D54E6">
        <w:rPr>
          <w:rFonts w:ascii="Times New Roman" w:hAnsi="Times New Roman" w:cs="Times New Roman"/>
          <w:b/>
          <w:bCs/>
          <w:sz w:val="28"/>
          <w:szCs w:val="28"/>
        </w:rPr>
        <w:t>ABSTRACT</w:t>
      </w:r>
    </w:p>
    <w:p w14:paraId="3C771670" w14:textId="024CFCEE" w:rsidR="008C34C3" w:rsidRDefault="00AF667A" w:rsidP="00FA6001">
      <w:pPr>
        <w:spacing w:line="360" w:lineRule="auto"/>
        <w:ind w:left="-450"/>
        <w:jc w:val="both"/>
        <w:rPr>
          <w:rFonts w:asciiTheme="majorBidi" w:eastAsia="Times New Roman" w:hAnsiTheme="majorBidi" w:cstheme="majorBidi"/>
          <w:color w:val="181818"/>
          <w:sz w:val="24"/>
          <w:szCs w:val="24"/>
        </w:rPr>
      </w:pPr>
      <w:r w:rsidRPr="000D6D7E">
        <w:rPr>
          <w:rFonts w:ascii="Times New Roman" w:hAnsi="Times New Roman" w:cs="Times New Roman"/>
          <w:sz w:val="24"/>
          <w:szCs w:val="24"/>
        </w:rPr>
        <w:t xml:space="preserve">The current study aimed to investigate the </w:t>
      </w:r>
      <w:r>
        <w:rPr>
          <w:rFonts w:ascii="Times New Roman" w:hAnsi="Times New Roman" w:cs="Times New Roman"/>
          <w:sz w:val="24"/>
          <w:szCs w:val="24"/>
        </w:rPr>
        <w:t>e</w:t>
      </w:r>
      <w:r w:rsidRPr="00AF667A">
        <w:rPr>
          <w:rFonts w:ascii="Times New Roman" w:hAnsi="Times New Roman" w:cs="Times New Roman"/>
          <w:sz w:val="24"/>
          <w:szCs w:val="24"/>
        </w:rPr>
        <w:t xml:space="preserve">ffects of combined toxicity of Fipronil insecticide and Potassium- dichromate </w:t>
      </w:r>
      <w:r w:rsidR="00304FC3">
        <w:rPr>
          <w:rFonts w:ascii="Times New Roman" w:hAnsi="Times New Roman" w:cs="Times New Roman"/>
          <w:sz w:val="24"/>
          <w:szCs w:val="24"/>
        </w:rPr>
        <w:t>o</w:t>
      </w:r>
      <w:r w:rsidRPr="00AF667A">
        <w:rPr>
          <w:rFonts w:ascii="Times New Roman" w:hAnsi="Times New Roman" w:cs="Times New Roman"/>
          <w:sz w:val="24"/>
          <w:szCs w:val="24"/>
        </w:rPr>
        <w:t>n liver</w:t>
      </w:r>
      <w:r w:rsidRPr="000D6D7E">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0D6D7E">
        <w:rPr>
          <w:rFonts w:ascii="Times New Roman" w:hAnsi="Times New Roman" w:cs="Times New Roman"/>
          <w:sz w:val="24"/>
          <w:szCs w:val="24"/>
        </w:rPr>
        <w:t>albino rats.</w:t>
      </w:r>
      <w:r w:rsidRPr="00AF667A">
        <w:rPr>
          <w:rFonts w:ascii="Times New Roman" w:hAnsi="Times New Roman" w:cs="Times New Roman"/>
          <w:sz w:val="24"/>
          <w:szCs w:val="24"/>
          <w:lang w:bidi="ar-EG"/>
        </w:rPr>
        <w:t xml:space="preserve"> </w:t>
      </w:r>
      <w:r w:rsidR="009A699A">
        <w:rPr>
          <w:rFonts w:ascii="Times New Roman" w:hAnsi="Times New Roman" w:cs="Times New Roman"/>
          <w:sz w:val="24"/>
          <w:szCs w:val="24"/>
          <w:lang w:bidi="ar-EG"/>
        </w:rPr>
        <w:t xml:space="preserve">The </w:t>
      </w:r>
      <w:r w:rsidRPr="005039FB">
        <w:rPr>
          <w:rFonts w:ascii="Times New Roman" w:hAnsi="Times New Roman" w:cs="Times New Roman"/>
          <w:sz w:val="24"/>
          <w:szCs w:val="24"/>
          <w:lang w:bidi="ar-EG"/>
        </w:rPr>
        <w:t>rats were randomly assigned into 5</w:t>
      </w:r>
      <w:r w:rsidRPr="005039FB">
        <w:rPr>
          <w:rFonts w:ascii="Times New Roman" w:hAnsi="Times New Roman" w:cs="Times New Roman"/>
          <w:sz w:val="24"/>
          <w:szCs w:val="24"/>
          <w:lang w:val="en-GB" w:bidi="ar-EG"/>
        </w:rPr>
        <w:t xml:space="preserve"> equal </w:t>
      </w:r>
      <w:r w:rsidRPr="005039FB">
        <w:rPr>
          <w:rFonts w:ascii="Times New Roman" w:hAnsi="Times New Roman" w:cs="Times New Roman"/>
          <w:sz w:val="24"/>
          <w:szCs w:val="24"/>
          <w:lang w:bidi="ar-EG"/>
        </w:rPr>
        <w:t xml:space="preserve">groups </w:t>
      </w:r>
      <w:r w:rsidRPr="005039FB">
        <w:rPr>
          <w:rFonts w:ascii="Times New Roman" w:hAnsi="Times New Roman" w:cs="Times New Roman"/>
          <w:sz w:val="24"/>
          <w:szCs w:val="24"/>
        </w:rPr>
        <w:t>(</w:t>
      </w:r>
      <w:r>
        <w:rPr>
          <w:rFonts w:ascii="Times New Roman" w:hAnsi="Times New Roman" w:cs="Times New Roman"/>
          <w:sz w:val="24"/>
          <w:szCs w:val="24"/>
        </w:rPr>
        <w:t xml:space="preserve">10 </w:t>
      </w:r>
      <w:r w:rsidRPr="005039FB">
        <w:rPr>
          <w:rFonts w:ascii="Times New Roman" w:hAnsi="Times New Roman" w:cs="Times New Roman"/>
          <w:sz w:val="24"/>
          <w:szCs w:val="24"/>
        </w:rPr>
        <w:t>rats each)</w:t>
      </w:r>
      <w:r>
        <w:rPr>
          <w:rFonts w:ascii="Times New Roman" w:hAnsi="Times New Roman" w:cs="Times New Roman"/>
          <w:sz w:val="24"/>
          <w:szCs w:val="24"/>
        </w:rPr>
        <w:t>.</w:t>
      </w:r>
      <w:r w:rsidRPr="00AF667A">
        <w:rPr>
          <w:rFonts w:asciiTheme="majorBidi" w:hAnsiTheme="majorBidi" w:cstheme="majorBidi"/>
          <w:sz w:val="24"/>
          <w:szCs w:val="24"/>
        </w:rPr>
        <w:t xml:space="preserve"> </w:t>
      </w:r>
      <w:r w:rsidRPr="00B87EEC">
        <w:rPr>
          <w:rFonts w:asciiTheme="majorBidi" w:hAnsiTheme="majorBidi" w:cstheme="majorBidi"/>
          <w:sz w:val="24"/>
          <w:szCs w:val="24"/>
        </w:rPr>
        <w:t>Group 1: controls received</w:t>
      </w:r>
      <w:r w:rsidR="008C34C3" w:rsidRPr="008C34C3">
        <w:t xml:space="preserve"> </w:t>
      </w:r>
      <w:r w:rsidR="008C34C3" w:rsidRPr="008C34C3">
        <w:rPr>
          <w:rFonts w:asciiTheme="majorBidi" w:hAnsiTheme="majorBidi" w:cstheme="majorBidi"/>
          <w:sz w:val="24"/>
          <w:szCs w:val="24"/>
        </w:rPr>
        <w:t>daily</w:t>
      </w:r>
      <w:r w:rsidRPr="00B87EEC">
        <w:rPr>
          <w:rFonts w:asciiTheme="majorBidi" w:hAnsiTheme="majorBidi" w:cstheme="majorBidi"/>
          <w:sz w:val="24"/>
          <w:szCs w:val="24"/>
        </w:rPr>
        <w:t xml:space="preserve"> Filtered water orally. Group 2: control received</w:t>
      </w:r>
      <w:r w:rsidR="008C34C3" w:rsidRPr="008C34C3">
        <w:t xml:space="preserve"> </w:t>
      </w:r>
      <w:r w:rsidR="008C34C3" w:rsidRPr="008C34C3">
        <w:rPr>
          <w:rFonts w:asciiTheme="majorBidi" w:hAnsiTheme="majorBidi" w:cstheme="majorBidi"/>
          <w:sz w:val="24"/>
          <w:szCs w:val="24"/>
        </w:rPr>
        <w:t>day after day</w:t>
      </w:r>
      <w:r w:rsidRPr="00B87EEC">
        <w:rPr>
          <w:rFonts w:asciiTheme="majorBidi" w:hAnsiTheme="majorBidi" w:cstheme="majorBidi"/>
          <w:sz w:val="24"/>
          <w:szCs w:val="24"/>
        </w:rPr>
        <w:t xml:space="preserve"> corn oil orally. Group 3: received FPN</w:t>
      </w:r>
      <w:r w:rsidR="008C34C3" w:rsidRPr="008C34C3">
        <w:t xml:space="preserve"> </w:t>
      </w:r>
      <w:r w:rsidR="008C34C3" w:rsidRPr="008C34C3">
        <w:rPr>
          <w:rFonts w:asciiTheme="majorBidi" w:hAnsiTheme="majorBidi" w:cstheme="majorBidi"/>
          <w:sz w:val="24"/>
          <w:szCs w:val="24"/>
        </w:rPr>
        <w:t>day after day</w:t>
      </w:r>
      <w:r w:rsidRPr="00B87EEC">
        <w:rPr>
          <w:rFonts w:asciiTheme="majorBidi" w:hAnsiTheme="majorBidi" w:cstheme="majorBidi"/>
          <w:sz w:val="24"/>
          <w:szCs w:val="24"/>
        </w:rPr>
        <w:t xml:space="preserve"> at a dose of 10 mg/kg b. wt. orally</w:t>
      </w:r>
      <w:r>
        <w:rPr>
          <w:rFonts w:asciiTheme="majorBidi" w:hAnsiTheme="majorBidi" w:cstheme="majorBidi"/>
          <w:sz w:val="24"/>
          <w:szCs w:val="24"/>
        </w:rPr>
        <w:t>.</w:t>
      </w:r>
      <w:r w:rsidRPr="00B87EEC">
        <w:rPr>
          <w:rFonts w:asciiTheme="majorBidi" w:hAnsiTheme="majorBidi" w:cstheme="majorBidi"/>
          <w:sz w:val="24"/>
          <w:szCs w:val="24"/>
        </w:rPr>
        <w:t xml:space="preserve"> Group 4: received K2Cr2O7 </w:t>
      </w:r>
      <w:r w:rsidR="008C34C3" w:rsidRPr="008C34C3">
        <w:rPr>
          <w:rFonts w:asciiTheme="majorBidi" w:hAnsiTheme="majorBidi" w:cstheme="majorBidi"/>
          <w:sz w:val="24"/>
          <w:szCs w:val="24"/>
        </w:rPr>
        <w:t xml:space="preserve">daily </w:t>
      </w:r>
      <w:r w:rsidRPr="00B87EEC">
        <w:rPr>
          <w:rFonts w:asciiTheme="majorBidi" w:hAnsiTheme="majorBidi" w:cstheme="majorBidi"/>
          <w:sz w:val="24"/>
          <w:szCs w:val="24"/>
        </w:rPr>
        <w:t xml:space="preserve">via drinking water (700 ppm equivalent to 67 mg/kg </w:t>
      </w:r>
      <w:proofErr w:type="spellStart"/>
      <w:proofErr w:type="gramStart"/>
      <w:r w:rsidRPr="00B87EEC">
        <w:rPr>
          <w:rFonts w:asciiTheme="majorBidi" w:hAnsiTheme="majorBidi" w:cstheme="majorBidi"/>
          <w:sz w:val="24"/>
          <w:szCs w:val="24"/>
        </w:rPr>
        <w:t>b.wt</w:t>
      </w:r>
      <w:proofErr w:type="spellEnd"/>
      <w:proofErr w:type="gramEnd"/>
      <w:r w:rsidRPr="00B87EEC">
        <w:rPr>
          <w:rFonts w:asciiTheme="majorBidi" w:hAnsiTheme="majorBidi" w:cstheme="majorBidi"/>
          <w:sz w:val="24"/>
          <w:szCs w:val="24"/>
        </w:rPr>
        <w:t>)</w:t>
      </w:r>
      <w:r>
        <w:rPr>
          <w:rFonts w:asciiTheme="majorBidi" w:hAnsiTheme="majorBidi" w:cstheme="majorBidi"/>
          <w:sz w:val="24"/>
          <w:szCs w:val="24"/>
        </w:rPr>
        <w:t xml:space="preserve"> </w:t>
      </w:r>
      <w:r w:rsidRPr="00B87EEC">
        <w:rPr>
          <w:rFonts w:asciiTheme="majorBidi" w:hAnsiTheme="majorBidi" w:cstheme="majorBidi"/>
          <w:i/>
          <w:iCs/>
          <w:sz w:val="24"/>
          <w:szCs w:val="24"/>
        </w:rPr>
        <w:t>.</w:t>
      </w:r>
      <w:r w:rsidRPr="00B87EEC">
        <w:rPr>
          <w:rFonts w:asciiTheme="majorBidi" w:hAnsiTheme="majorBidi" w:cstheme="majorBidi"/>
          <w:sz w:val="24"/>
          <w:szCs w:val="24"/>
        </w:rPr>
        <w:t xml:space="preserve">Group 5: received FPN </w:t>
      </w:r>
      <w:r w:rsidR="008C34C3" w:rsidRPr="008C34C3">
        <w:rPr>
          <w:rFonts w:asciiTheme="majorBidi" w:hAnsiTheme="majorBidi" w:cstheme="majorBidi"/>
          <w:sz w:val="24"/>
          <w:szCs w:val="24"/>
        </w:rPr>
        <w:t xml:space="preserve">day after day </w:t>
      </w:r>
      <w:r w:rsidRPr="00B87EEC">
        <w:rPr>
          <w:rFonts w:asciiTheme="majorBidi" w:hAnsiTheme="majorBidi" w:cstheme="majorBidi"/>
          <w:sz w:val="24"/>
          <w:szCs w:val="24"/>
        </w:rPr>
        <w:t xml:space="preserve">(10 mg/kg b. </w:t>
      </w:r>
      <w:proofErr w:type="spellStart"/>
      <w:r w:rsidRPr="00B87EEC">
        <w:rPr>
          <w:rFonts w:asciiTheme="majorBidi" w:hAnsiTheme="majorBidi" w:cstheme="majorBidi"/>
          <w:sz w:val="24"/>
          <w:szCs w:val="24"/>
        </w:rPr>
        <w:t>wt</w:t>
      </w:r>
      <w:proofErr w:type="spellEnd"/>
      <w:r w:rsidRPr="00B87EEC">
        <w:rPr>
          <w:rFonts w:asciiTheme="majorBidi" w:hAnsiTheme="majorBidi" w:cstheme="majorBidi"/>
          <w:sz w:val="24"/>
          <w:szCs w:val="24"/>
        </w:rPr>
        <w:t xml:space="preserve"> orally) + K2Cr2O7</w:t>
      </w:r>
      <w:r w:rsidR="008C34C3" w:rsidRPr="008C34C3">
        <w:t xml:space="preserve"> </w:t>
      </w:r>
      <w:r w:rsidR="008C34C3" w:rsidRPr="008C34C3">
        <w:rPr>
          <w:rFonts w:asciiTheme="majorBidi" w:hAnsiTheme="majorBidi" w:cstheme="majorBidi"/>
          <w:sz w:val="24"/>
          <w:szCs w:val="24"/>
        </w:rPr>
        <w:t>daily</w:t>
      </w:r>
      <w:r w:rsidRPr="00B87EEC">
        <w:rPr>
          <w:rFonts w:asciiTheme="majorBidi" w:hAnsiTheme="majorBidi" w:cstheme="majorBidi"/>
          <w:sz w:val="24"/>
          <w:szCs w:val="24"/>
        </w:rPr>
        <w:t xml:space="preserve"> via drinking water (700 ppm equivalent to 67 mg/kg </w:t>
      </w:r>
      <w:proofErr w:type="spellStart"/>
      <w:r w:rsidRPr="00B87EEC">
        <w:rPr>
          <w:rFonts w:asciiTheme="majorBidi" w:hAnsiTheme="majorBidi" w:cstheme="majorBidi"/>
          <w:sz w:val="24"/>
          <w:szCs w:val="24"/>
        </w:rPr>
        <w:t>b.wt</w:t>
      </w:r>
      <w:proofErr w:type="spellEnd"/>
      <w:r w:rsidRPr="00B87EEC">
        <w:rPr>
          <w:rFonts w:asciiTheme="majorBidi" w:hAnsiTheme="majorBidi" w:cstheme="majorBidi"/>
          <w:sz w:val="24"/>
          <w:szCs w:val="24"/>
        </w:rPr>
        <w:t>)</w:t>
      </w:r>
      <w:r>
        <w:rPr>
          <w:rFonts w:asciiTheme="majorBidi" w:hAnsiTheme="majorBidi" w:cstheme="majorBidi"/>
          <w:sz w:val="24"/>
          <w:szCs w:val="24"/>
        </w:rPr>
        <w:t xml:space="preserve"> </w:t>
      </w:r>
      <w:r w:rsidRPr="00B87EEC">
        <w:rPr>
          <w:rFonts w:asciiTheme="majorBidi" w:hAnsiTheme="majorBidi" w:cstheme="majorBidi"/>
          <w:sz w:val="24"/>
          <w:szCs w:val="24"/>
        </w:rPr>
        <w:t>for 28days.</w:t>
      </w:r>
      <w:r w:rsidR="009775F6" w:rsidRPr="009775F6">
        <w:rPr>
          <w:rFonts w:asciiTheme="majorBidi" w:eastAsia="Times New Roman" w:hAnsiTheme="majorBidi" w:cstheme="majorBidi"/>
          <w:color w:val="181818"/>
          <w:sz w:val="24"/>
          <w:szCs w:val="24"/>
        </w:rPr>
        <w:t xml:space="preserve"> </w:t>
      </w:r>
      <w:r w:rsidR="008C34C3" w:rsidRPr="008C34C3">
        <w:rPr>
          <w:rFonts w:asciiTheme="majorBidi" w:eastAsia="Times New Roman" w:hAnsiTheme="majorBidi" w:cstheme="majorBidi"/>
          <w:color w:val="181818"/>
          <w:sz w:val="24"/>
          <w:szCs w:val="24"/>
        </w:rPr>
        <w:t xml:space="preserve">The results revealed that FPN and/or K2Cr2O7significantly increased serum levels of </w:t>
      </w:r>
      <w:r w:rsidR="009A699A">
        <w:rPr>
          <w:rFonts w:asciiTheme="majorBidi" w:eastAsia="Times New Roman" w:hAnsiTheme="majorBidi" w:cstheme="majorBidi"/>
          <w:color w:val="181818"/>
          <w:sz w:val="24"/>
          <w:szCs w:val="24"/>
        </w:rPr>
        <w:t>ALT</w:t>
      </w:r>
      <w:r w:rsidR="008C34C3" w:rsidRPr="008C34C3">
        <w:rPr>
          <w:rFonts w:asciiTheme="majorBidi" w:eastAsia="Times New Roman" w:hAnsiTheme="majorBidi" w:cstheme="majorBidi"/>
          <w:color w:val="181818"/>
          <w:sz w:val="24"/>
          <w:szCs w:val="24"/>
        </w:rPr>
        <w:t xml:space="preserve">, </w:t>
      </w:r>
      <w:r w:rsidR="009A699A">
        <w:rPr>
          <w:rFonts w:asciiTheme="majorBidi" w:eastAsia="Times New Roman" w:hAnsiTheme="majorBidi" w:cstheme="majorBidi"/>
          <w:color w:val="181818"/>
          <w:sz w:val="24"/>
          <w:szCs w:val="24"/>
        </w:rPr>
        <w:t>AST</w:t>
      </w:r>
      <w:r w:rsidR="00E73302">
        <w:rPr>
          <w:rFonts w:asciiTheme="majorBidi" w:eastAsia="Times New Roman" w:hAnsiTheme="majorBidi" w:cstheme="majorBidi"/>
          <w:color w:val="181818"/>
          <w:sz w:val="24"/>
          <w:szCs w:val="24"/>
        </w:rPr>
        <w:t xml:space="preserve"> and</w:t>
      </w:r>
      <w:r w:rsidR="008C34C3">
        <w:rPr>
          <w:rFonts w:asciiTheme="majorBidi" w:eastAsia="Times New Roman" w:hAnsiTheme="majorBidi" w:cstheme="majorBidi"/>
          <w:color w:val="181818"/>
          <w:sz w:val="24"/>
          <w:szCs w:val="24"/>
        </w:rPr>
        <w:t xml:space="preserve"> decrease </w:t>
      </w:r>
      <w:r w:rsidR="00E73302">
        <w:rPr>
          <w:rFonts w:asciiTheme="majorBidi" w:eastAsia="Times New Roman" w:hAnsiTheme="majorBidi" w:cstheme="majorBidi"/>
          <w:color w:val="181818"/>
          <w:sz w:val="24"/>
          <w:szCs w:val="24"/>
        </w:rPr>
        <w:t>in total protein and albumin</w:t>
      </w:r>
      <w:r w:rsidR="008C34C3">
        <w:rPr>
          <w:rFonts w:asciiTheme="majorBidi" w:eastAsia="Times New Roman" w:hAnsiTheme="majorBidi" w:cstheme="majorBidi"/>
          <w:color w:val="181818"/>
          <w:sz w:val="24"/>
          <w:szCs w:val="24"/>
        </w:rPr>
        <w:t>. In</w:t>
      </w:r>
      <w:r w:rsidR="008C34C3" w:rsidRPr="008C34C3">
        <w:rPr>
          <w:rFonts w:asciiTheme="majorBidi" w:eastAsia="Times New Roman" w:hAnsiTheme="majorBidi" w:cstheme="majorBidi"/>
          <w:color w:val="181818"/>
          <w:sz w:val="24"/>
          <w:szCs w:val="24"/>
        </w:rPr>
        <w:t xml:space="preserve"> addition, there were substantial increases in the liver contents of </w:t>
      </w:r>
      <w:r w:rsidR="00C2429B">
        <w:rPr>
          <w:rFonts w:asciiTheme="majorBidi" w:eastAsia="Times New Roman" w:hAnsiTheme="majorBidi" w:cstheme="majorBidi"/>
          <w:color w:val="181818"/>
          <w:sz w:val="24"/>
          <w:szCs w:val="24"/>
        </w:rPr>
        <w:t xml:space="preserve">MDA </w:t>
      </w:r>
      <w:r w:rsidR="008C34C3" w:rsidRPr="008C34C3">
        <w:rPr>
          <w:rFonts w:asciiTheme="majorBidi" w:eastAsia="Times New Roman" w:hAnsiTheme="majorBidi" w:cstheme="majorBidi"/>
          <w:color w:val="181818"/>
          <w:sz w:val="24"/>
          <w:szCs w:val="24"/>
        </w:rPr>
        <w:t xml:space="preserve">and </w:t>
      </w:r>
      <w:r w:rsidR="00C2429B">
        <w:rPr>
          <w:rFonts w:asciiTheme="majorBidi" w:eastAsia="Times New Roman" w:hAnsiTheme="majorBidi" w:cstheme="majorBidi"/>
          <w:color w:val="181818"/>
          <w:sz w:val="24"/>
          <w:szCs w:val="24"/>
        </w:rPr>
        <w:t>NO</w:t>
      </w:r>
      <w:r w:rsidR="008C34C3" w:rsidRPr="008C34C3">
        <w:rPr>
          <w:rFonts w:asciiTheme="majorBidi" w:eastAsia="Times New Roman" w:hAnsiTheme="majorBidi" w:cstheme="majorBidi"/>
          <w:color w:val="181818"/>
          <w:sz w:val="24"/>
          <w:szCs w:val="24"/>
        </w:rPr>
        <w:t xml:space="preserve">, along with significant decreases in </w:t>
      </w:r>
      <w:r w:rsidR="00E73302">
        <w:rPr>
          <w:rFonts w:asciiTheme="majorBidi" w:eastAsia="Times New Roman" w:hAnsiTheme="majorBidi" w:cstheme="majorBidi"/>
          <w:color w:val="181818"/>
          <w:sz w:val="24"/>
          <w:szCs w:val="24"/>
        </w:rPr>
        <w:t>TAC.</w:t>
      </w:r>
      <w:r w:rsidR="00C2429B">
        <w:rPr>
          <w:rFonts w:asciiTheme="majorBidi" w:eastAsia="Times New Roman" w:hAnsiTheme="majorBidi" w:cstheme="majorBidi"/>
          <w:color w:val="181818"/>
          <w:sz w:val="24"/>
          <w:szCs w:val="24"/>
        </w:rPr>
        <w:t xml:space="preserve"> </w:t>
      </w:r>
      <w:r w:rsidR="00E73302">
        <w:rPr>
          <w:rFonts w:asciiTheme="majorBidi" w:eastAsia="Times New Roman" w:hAnsiTheme="majorBidi" w:cstheme="majorBidi"/>
          <w:color w:val="181818"/>
          <w:sz w:val="24"/>
          <w:szCs w:val="24"/>
        </w:rPr>
        <w:t>also,</w:t>
      </w:r>
      <w:r w:rsidR="00E73302" w:rsidRPr="00E73302">
        <w:rPr>
          <w:rFonts w:asciiTheme="majorBidi" w:hAnsiTheme="majorBidi" w:cstheme="majorBidi"/>
          <w:color w:val="000000"/>
          <w:sz w:val="24"/>
          <w:szCs w:val="24"/>
        </w:rPr>
        <w:t xml:space="preserve"> </w:t>
      </w:r>
      <w:r w:rsidR="00E73302">
        <w:rPr>
          <w:rFonts w:asciiTheme="majorBidi" w:hAnsiTheme="majorBidi" w:cstheme="majorBidi"/>
          <w:color w:val="000000"/>
          <w:sz w:val="24"/>
          <w:szCs w:val="24"/>
        </w:rPr>
        <w:t xml:space="preserve">there is </w:t>
      </w:r>
      <w:r w:rsidR="00E73302" w:rsidRPr="00E73302">
        <w:rPr>
          <w:rFonts w:asciiTheme="majorBidi" w:hAnsiTheme="majorBidi" w:cstheme="majorBidi"/>
          <w:color w:val="000000"/>
          <w:sz w:val="24"/>
          <w:szCs w:val="24"/>
        </w:rPr>
        <w:t>upregulat</w:t>
      </w:r>
      <w:r w:rsidR="00E73302">
        <w:rPr>
          <w:rFonts w:asciiTheme="majorBidi" w:hAnsiTheme="majorBidi" w:cstheme="majorBidi"/>
          <w:color w:val="000000"/>
          <w:sz w:val="24"/>
          <w:szCs w:val="24"/>
        </w:rPr>
        <w:t>ion</w:t>
      </w:r>
      <w:r w:rsidR="00E73302" w:rsidRPr="00E73302">
        <w:rPr>
          <w:rFonts w:asciiTheme="majorBidi" w:hAnsiTheme="majorBidi" w:cstheme="majorBidi"/>
          <w:color w:val="000000"/>
          <w:sz w:val="24"/>
          <w:szCs w:val="24"/>
        </w:rPr>
        <w:t xml:space="preserve"> </w:t>
      </w:r>
      <w:r w:rsidR="00E73302">
        <w:rPr>
          <w:rFonts w:asciiTheme="majorBidi" w:hAnsiTheme="majorBidi" w:cstheme="majorBidi"/>
          <w:color w:val="000000"/>
          <w:sz w:val="24"/>
          <w:szCs w:val="24"/>
        </w:rPr>
        <w:t xml:space="preserve">in </w:t>
      </w:r>
      <w:r w:rsidR="00E73302" w:rsidRPr="008F1F7D">
        <w:rPr>
          <w:rFonts w:asciiTheme="majorBidi" w:hAnsiTheme="majorBidi" w:cstheme="majorBidi"/>
          <w:color w:val="000000"/>
          <w:sz w:val="24"/>
          <w:szCs w:val="24"/>
        </w:rPr>
        <w:t>TNF-α and IL-6</w:t>
      </w:r>
      <w:r w:rsidR="00E73302">
        <w:rPr>
          <w:rFonts w:asciiTheme="majorBidi" w:hAnsiTheme="majorBidi" w:cstheme="majorBidi"/>
          <w:color w:val="000000"/>
          <w:sz w:val="24"/>
          <w:szCs w:val="24"/>
        </w:rPr>
        <w:t>.</w:t>
      </w:r>
      <w:r w:rsidR="00C2429B">
        <w:rPr>
          <w:rFonts w:asciiTheme="majorBidi" w:hAnsiTheme="majorBidi" w:cstheme="majorBidi"/>
          <w:color w:val="000000"/>
          <w:sz w:val="24"/>
          <w:szCs w:val="24"/>
        </w:rPr>
        <w:t xml:space="preserve"> It can be concluded </w:t>
      </w:r>
      <w:r w:rsidR="00A75798">
        <w:rPr>
          <w:rFonts w:asciiTheme="majorBidi" w:hAnsiTheme="majorBidi" w:cstheme="majorBidi"/>
          <w:color w:val="000000"/>
          <w:sz w:val="24"/>
          <w:szCs w:val="24"/>
        </w:rPr>
        <w:t>that FPN</w:t>
      </w:r>
      <w:r w:rsidR="00C2429B" w:rsidRPr="00C2429B">
        <w:rPr>
          <w:rFonts w:asciiTheme="majorBidi" w:hAnsiTheme="majorBidi" w:cstheme="majorBidi"/>
          <w:color w:val="000000"/>
          <w:sz w:val="24"/>
          <w:szCs w:val="24"/>
        </w:rPr>
        <w:t xml:space="preserve"> and/or K2Cr2O7</w:t>
      </w:r>
      <w:r w:rsidR="00C2429B">
        <w:rPr>
          <w:rFonts w:asciiTheme="majorBidi" w:hAnsiTheme="majorBidi" w:cstheme="majorBidi"/>
          <w:color w:val="000000"/>
          <w:sz w:val="24"/>
          <w:szCs w:val="24"/>
        </w:rPr>
        <w:t xml:space="preserve"> induce severe tissue damage in liver of male albino rats.</w:t>
      </w:r>
    </w:p>
    <w:p w14:paraId="78785A88" w14:textId="7C9D8A6E" w:rsidR="00C2429B" w:rsidRPr="00982950" w:rsidRDefault="00C2429B" w:rsidP="00C2429B">
      <w:pPr>
        <w:spacing w:line="360" w:lineRule="auto"/>
        <w:rPr>
          <w:rFonts w:ascii="Times New Roman" w:hAnsi="Times New Roman" w:cs="Times New Roman"/>
          <w:b/>
          <w:bCs/>
          <w:sz w:val="24"/>
          <w:szCs w:val="24"/>
        </w:rPr>
      </w:pPr>
      <w:r w:rsidRPr="00BC0008">
        <w:rPr>
          <w:rFonts w:ascii="Times New Roman" w:hAnsi="Times New Roman" w:cs="Times New Roman"/>
          <w:b/>
          <w:bCs/>
          <w:sz w:val="24"/>
          <w:szCs w:val="24"/>
        </w:rPr>
        <w:t xml:space="preserve">Keywords: Fipronil, Potassium dichromate, </w:t>
      </w:r>
      <w:r w:rsidRPr="00C2429B">
        <w:rPr>
          <w:rFonts w:ascii="Times New Roman" w:hAnsi="Times New Roman" w:cs="Times New Roman"/>
          <w:b/>
          <w:bCs/>
          <w:sz w:val="24"/>
          <w:szCs w:val="24"/>
        </w:rPr>
        <w:t>TNF-α</w:t>
      </w:r>
      <w:r w:rsidRPr="00BC0008">
        <w:rPr>
          <w:rFonts w:ascii="Times New Roman" w:hAnsi="Times New Roman" w:cs="Times New Roman"/>
          <w:b/>
          <w:bCs/>
          <w:sz w:val="24"/>
          <w:szCs w:val="24"/>
        </w:rPr>
        <w:t xml:space="preserve">, </w:t>
      </w:r>
      <w:r w:rsidRPr="00C2429B">
        <w:rPr>
          <w:rFonts w:ascii="Times New Roman" w:hAnsi="Times New Roman" w:cs="Times New Roman"/>
          <w:b/>
          <w:bCs/>
          <w:sz w:val="24"/>
          <w:szCs w:val="24"/>
        </w:rPr>
        <w:t>IL-6</w:t>
      </w:r>
      <w:r w:rsidRPr="00BC0008">
        <w:rPr>
          <w:rFonts w:ascii="Times New Roman" w:hAnsi="Times New Roman" w:cs="Times New Roman"/>
          <w:b/>
          <w:bCs/>
          <w:sz w:val="24"/>
          <w:szCs w:val="24"/>
        </w:rPr>
        <w:t xml:space="preserve">, </w:t>
      </w:r>
      <w:r w:rsidR="00A75798">
        <w:rPr>
          <w:rFonts w:ascii="Times New Roman" w:hAnsi="Times New Roman" w:cs="Times New Roman"/>
          <w:b/>
          <w:bCs/>
          <w:sz w:val="24"/>
          <w:szCs w:val="24"/>
        </w:rPr>
        <w:t xml:space="preserve">hepatotoxicity. </w:t>
      </w:r>
    </w:p>
    <w:p w14:paraId="255318E4" w14:textId="622B3807" w:rsidR="000F6329" w:rsidRDefault="000F6329" w:rsidP="00FA6001">
      <w:pPr>
        <w:spacing w:line="360" w:lineRule="auto"/>
        <w:ind w:left="-450"/>
        <w:jc w:val="both"/>
        <w:rPr>
          <w:rFonts w:ascii="Times New Roman" w:hAnsi="Times New Roman" w:cs="Times New Roman"/>
          <w:b/>
          <w:bCs/>
          <w:sz w:val="24"/>
          <w:szCs w:val="24"/>
          <w:rtl/>
        </w:rPr>
      </w:pPr>
    </w:p>
    <w:p w14:paraId="2F11492C" w14:textId="77777777" w:rsidR="00FA6001" w:rsidRDefault="00FA6001" w:rsidP="00FA6001">
      <w:pPr>
        <w:spacing w:line="360" w:lineRule="auto"/>
        <w:ind w:left="-450"/>
        <w:jc w:val="both"/>
        <w:rPr>
          <w:rFonts w:ascii="Times New Roman" w:hAnsi="Times New Roman" w:cs="Times New Roman"/>
          <w:b/>
          <w:bCs/>
          <w:sz w:val="28"/>
          <w:szCs w:val="28"/>
        </w:rPr>
      </w:pPr>
    </w:p>
    <w:p w14:paraId="5C911DE4" w14:textId="1512C908" w:rsidR="00BC0008" w:rsidRDefault="00BC0008" w:rsidP="00FA6001">
      <w:pPr>
        <w:spacing w:line="360" w:lineRule="auto"/>
        <w:ind w:left="-450"/>
        <w:jc w:val="both"/>
        <w:rPr>
          <w:rFonts w:ascii="Times New Roman" w:hAnsi="Times New Roman" w:cs="Times New Roman"/>
          <w:b/>
          <w:bCs/>
          <w:sz w:val="28"/>
          <w:szCs w:val="28"/>
        </w:rPr>
      </w:pPr>
    </w:p>
    <w:p w14:paraId="0CB6E517" w14:textId="5F7F6B23" w:rsidR="00E73302" w:rsidRDefault="00E73302" w:rsidP="00FA6001">
      <w:pPr>
        <w:spacing w:line="360" w:lineRule="auto"/>
        <w:ind w:left="-450"/>
        <w:jc w:val="both"/>
        <w:rPr>
          <w:rFonts w:ascii="Times New Roman" w:hAnsi="Times New Roman" w:cs="Times New Roman"/>
          <w:b/>
          <w:bCs/>
          <w:sz w:val="28"/>
          <w:szCs w:val="28"/>
        </w:rPr>
      </w:pPr>
    </w:p>
    <w:p w14:paraId="363DF801" w14:textId="0260137C" w:rsidR="00E73302" w:rsidRDefault="00E73302" w:rsidP="00FA6001">
      <w:pPr>
        <w:spacing w:line="360" w:lineRule="auto"/>
        <w:ind w:left="-450"/>
        <w:jc w:val="both"/>
        <w:rPr>
          <w:rFonts w:ascii="Times New Roman" w:hAnsi="Times New Roman" w:cs="Times New Roman"/>
          <w:b/>
          <w:bCs/>
          <w:sz w:val="28"/>
          <w:szCs w:val="28"/>
        </w:rPr>
      </w:pPr>
    </w:p>
    <w:p w14:paraId="3AD83CB6" w14:textId="77777777" w:rsidR="00E73302" w:rsidRDefault="00E73302" w:rsidP="00FA6001">
      <w:pPr>
        <w:spacing w:line="360" w:lineRule="auto"/>
        <w:ind w:left="-450"/>
        <w:jc w:val="both"/>
        <w:rPr>
          <w:rFonts w:ascii="Times New Roman" w:hAnsi="Times New Roman" w:cs="Times New Roman"/>
          <w:b/>
          <w:bCs/>
          <w:sz w:val="28"/>
          <w:szCs w:val="28"/>
          <w:rtl/>
          <w:lang w:bidi="ar-EG"/>
        </w:rPr>
      </w:pPr>
    </w:p>
    <w:p w14:paraId="68010236" w14:textId="52836E4E" w:rsidR="009A5F2C" w:rsidRDefault="009A5F2C" w:rsidP="00FA6001">
      <w:pPr>
        <w:spacing w:line="360" w:lineRule="auto"/>
        <w:ind w:left="-450"/>
        <w:jc w:val="both"/>
        <w:rPr>
          <w:rFonts w:ascii="Times New Roman" w:hAnsi="Times New Roman" w:cs="Times New Roman"/>
          <w:b/>
          <w:bCs/>
          <w:sz w:val="28"/>
          <w:szCs w:val="28"/>
        </w:rPr>
      </w:pPr>
    </w:p>
    <w:p w14:paraId="172B7D08" w14:textId="77777777" w:rsidR="00A75798" w:rsidRDefault="00A75798" w:rsidP="00FA6001">
      <w:pPr>
        <w:spacing w:line="360" w:lineRule="auto"/>
        <w:ind w:left="-450"/>
        <w:jc w:val="both"/>
        <w:rPr>
          <w:rFonts w:ascii="Times New Roman" w:hAnsi="Times New Roman" w:cs="Times New Roman"/>
          <w:b/>
          <w:bCs/>
          <w:sz w:val="28"/>
          <w:szCs w:val="28"/>
        </w:rPr>
      </w:pPr>
    </w:p>
    <w:p w14:paraId="04ABE401" w14:textId="23C8772F" w:rsidR="0097256D" w:rsidRPr="00B87EEC" w:rsidRDefault="0097256D" w:rsidP="00FA6001">
      <w:pPr>
        <w:spacing w:line="360" w:lineRule="auto"/>
        <w:ind w:left="-450"/>
        <w:jc w:val="both"/>
        <w:rPr>
          <w:rFonts w:asciiTheme="majorBidi" w:hAnsiTheme="majorBidi" w:cstheme="majorBidi"/>
          <w:b/>
          <w:bCs/>
          <w:sz w:val="24"/>
          <w:szCs w:val="24"/>
        </w:rPr>
      </w:pPr>
      <w:r w:rsidRPr="00B87EEC">
        <w:rPr>
          <w:rFonts w:asciiTheme="majorBidi" w:hAnsiTheme="majorBidi" w:cstheme="majorBidi"/>
          <w:b/>
          <w:bCs/>
          <w:sz w:val="24"/>
          <w:szCs w:val="24"/>
        </w:rPr>
        <w:lastRenderedPageBreak/>
        <w:t>INTRODUCTION</w:t>
      </w:r>
    </w:p>
    <w:p w14:paraId="2EEED405" w14:textId="62840C6F" w:rsidR="007209BC" w:rsidRDefault="0097256D" w:rsidP="007209BC">
      <w:pPr>
        <w:spacing w:line="360" w:lineRule="auto"/>
        <w:ind w:left="-450"/>
        <w:jc w:val="both"/>
        <w:rPr>
          <w:rFonts w:asciiTheme="majorBidi" w:hAnsiTheme="majorBidi" w:cstheme="majorBidi"/>
          <w:sz w:val="24"/>
          <w:szCs w:val="24"/>
        </w:rPr>
      </w:pPr>
      <w:r w:rsidRPr="00B87EEC">
        <w:rPr>
          <w:rFonts w:asciiTheme="majorBidi" w:hAnsiTheme="majorBidi" w:cstheme="majorBidi"/>
          <w:sz w:val="24"/>
          <w:szCs w:val="24"/>
        </w:rPr>
        <w:t>Pesticides are considered a source of environmental and health hazards causing irreparable complications for human and animal</w:t>
      </w:r>
      <w:r w:rsidR="00946941" w:rsidRPr="00B87EEC">
        <w:rPr>
          <w:rFonts w:asciiTheme="majorBidi" w:hAnsiTheme="majorBidi" w:cstheme="majorBidi" w:hint="cs"/>
          <w:b/>
          <w:bCs/>
          <w:sz w:val="24"/>
          <w:szCs w:val="24"/>
          <w:rtl/>
        </w:rPr>
        <w:t xml:space="preserve"> </w:t>
      </w:r>
      <w:r w:rsidR="00835ED5" w:rsidRPr="00B87EEC">
        <w:rPr>
          <w:rFonts w:asciiTheme="majorBidi" w:hAnsiTheme="majorBidi" w:cstheme="majorBidi"/>
          <w:b/>
          <w:bCs/>
          <w:sz w:val="24"/>
          <w:szCs w:val="24"/>
        </w:rPr>
        <w:fldChar w:fldCharType="begin" w:fldLock="1"/>
      </w:r>
      <w:r w:rsidR="00946941" w:rsidRPr="00B87EEC">
        <w:rPr>
          <w:rFonts w:asciiTheme="majorBidi" w:hAnsiTheme="majorBidi" w:cstheme="majorBidi"/>
          <w:b/>
          <w:bCs/>
          <w:sz w:val="24"/>
          <w:szCs w:val="24"/>
        </w:rPr>
        <w:instrText>ADDIN CSL_CITATION {"citationItems":[{"id":"ITEM-1","itemData":{"DOI":"10.1080/03601234.2017.1303322","abstract":"Pesticides cause serious environmental and health problems both to humans and animals. The aim of this review is to discuss selected herbicides and fungicides regarding their mode of action and their influence on basic oxidative stress parameters and endocrine disruption properties tested in selected cell cultures in vitro. Because of numerous difficulties which animal studies are subject to, cell cultures are an excellent experimental model reflecting human exposure to different pesticides through all relevant routes. This experimental model can be used to monitor aggregate and cumulative pesticide exposures.","author":[{"dropping-particle":"","family":"Jabłońska-Trypuć  Agata A4  - Wołejko, Elżbieta A4  - Wydro, Urszula A4  - Butarewicz, Andrzej","given":"Agata A4 - Jabłońska-Trypuć","non-dropping-particle":"","parse-names":false,"suffix":""}],"container-title":"Journal of environmental science and health","id":"ITEM-1","issue":"no. 7","issued":{"date-parts":[["2017"]]},"page":"pp. 483-494-2017 v.52 no.7","title":"The impact of pesticides on oxidative stress level in human organism and their activity as an endocrine disruptor Part B Pesticides, food contaminants, and agricultural wastes","type":"article-journal","volume":"v. 52"},"uris":["http://www.mendeley.com/documents/?uuid=5b871082-7529-45d8-b3e3-6db3cc4650e5"]}],"mendeley":{"formattedCitation":"(Jabłońska-Trypuć  Agata A4  - Wołejko, Elżbieta A4  - Wydro, Urszula A4  - Butarewicz, Andrzej, 2017)","manualFormatting":"(Jabłońska-Trypuć  et al., 2017)","plainTextFormattedCitation":"(Jabłońska-Trypuć  Agata A4  - Wołejko, Elżbieta A4  - Wydro, Urszula A4  - Butarewicz, Andrzej, 2017)","previouslyFormattedCitation":"(Jabłońska-Trypuć  Agata A4  - Wołejko, Elżbieta A4  - Wydro, Urszula A4  - Butarewicz, Andrzej, 2017)"},"properties":{"noteIndex":0},"schema":"https://github.com/citation-style-language/schema/raw/master/csl-citation.json"}</w:instrText>
      </w:r>
      <w:r w:rsidR="00835ED5" w:rsidRPr="00B87EEC">
        <w:rPr>
          <w:rFonts w:asciiTheme="majorBidi" w:hAnsiTheme="majorBidi" w:cstheme="majorBidi"/>
          <w:b/>
          <w:bCs/>
          <w:sz w:val="24"/>
          <w:szCs w:val="24"/>
        </w:rPr>
        <w:fldChar w:fldCharType="separate"/>
      </w:r>
      <w:r w:rsidR="00835ED5" w:rsidRPr="00B87EEC">
        <w:rPr>
          <w:rFonts w:asciiTheme="majorBidi" w:hAnsiTheme="majorBidi" w:cstheme="majorBidi"/>
          <w:b/>
          <w:bCs/>
          <w:noProof/>
          <w:sz w:val="24"/>
          <w:szCs w:val="24"/>
        </w:rPr>
        <w:t>(Jabłońska-Trypuć </w:t>
      </w:r>
      <w:r w:rsidR="00835ED5" w:rsidRPr="00B87EEC">
        <w:rPr>
          <w:rFonts w:asciiTheme="majorBidi" w:hAnsiTheme="majorBidi" w:cstheme="majorBidi"/>
          <w:b/>
          <w:bCs/>
          <w:i/>
          <w:iCs/>
          <w:noProof/>
          <w:sz w:val="24"/>
          <w:szCs w:val="24"/>
        </w:rPr>
        <w:t xml:space="preserve"> </w:t>
      </w:r>
      <w:r w:rsidR="00946941" w:rsidRPr="00B87EEC">
        <w:rPr>
          <w:rFonts w:asciiTheme="majorBidi" w:hAnsiTheme="majorBidi" w:cstheme="majorBidi"/>
          <w:b/>
          <w:bCs/>
          <w:i/>
          <w:iCs/>
          <w:noProof/>
          <w:sz w:val="24"/>
          <w:szCs w:val="24"/>
        </w:rPr>
        <w:t>et al</w:t>
      </w:r>
      <w:r w:rsidR="00946941" w:rsidRPr="00B87EEC">
        <w:rPr>
          <w:rFonts w:asciiTheme="majorBidi" w:hAnsiTheme="majorBidi" w:cstheme="majorBidi"/>
          <w:b/>
          <w:bCs/>
          <w:noProof/>
          <w:sz w:val="24"/>
          <w:szCs w:val="24"/>
        </w:rPr>
        <w:t>.,</w:t>
      </w:r>
      <w:r w:rsidR="00835ED5" w:rsidRPr="00B87EEC">
        <w:rPr>
          <w:rFonts w:asciiTheme="majorBidi" w:hAnsiTheme="majorBidi" w:cstheme="majorBidi"/>
          <w:b/>
          <w:bCs/>
          <w:noProof/>
          <w:sz w:val="24"/>
          <w:szCs w:val="24"/>
        </w:rPr>
        <w:t xml:space="preserve"> 2017)</w:t>
      </w:r>
      <w:r w:rsidR="00835ED5" w:rsidRPr="00B87EEC">
        <w:rPr>
          <w:rFonts w:asciiTheme="majorBidi" w:hAnsiTheme="majorBidi" w:cstheme="majorBidi"/>
          <w:b/>
          <w:bCs/>
          <w:sz w:val="24"/>
          <w:szCs w:val="24"/>
        </w:rPr>
        <w:fldChar w:fldCharType="end"/>
      </w:r>
      <w:r w:rsidRPr="00B87EEC">
        <w:rPr>
          <w:rFonts w:asciiTheme="majorBidi" w:hAnsiTheme="majorBidi" w:cstheme="majorBidi"/>
          <w:sz w:val="24"/>
          <w:szCs w:val="24"/>
        </w:rPr>
        <w:t>.</w:t>
      </w:r>
      <w:r w:rsidRPr="00B87EEC">
        <w:rPr>
          <w:rFonts w:asciiTheme="majorBidi" w:hAnsiTheme="majorBidi" w:cstheme="majorBidi" w:hint="cs"/>
          <w:sz w:val="24"/>
          <w:szCs w:val="24"/>
          <w:rtl/>
        </w:rPr>
        <w:t xml:space="preserve"> </w:t>
      </w:r>
      <w:r w:rsidRPr="00B87EEC">
        <w:rPr>
          <w:rFonts w:asciiTheme="majorBidi" w:hAnsiTheme="majorBidi" w:cstheme="majorBidi"/>
          <w:sz w:val="24"/>
          <w:szCs w:val="24"/>
        </w:rPr>
        <w:t>Fipronil (FPN) is a systemic insecticide belong to the second-generation phenylpyrazole with broad- spectrum activity widely used for the effective control of many agriculture and domestic pests. FPN has attract more attention for its effect on insects that are resistant to organophosphates, pyrethroids, and carbamate insecticides</w:t>
      </w:r>
      <w:r w:rsidR="00F624B5" w:rsidRPr="00B87EEC">
        <w:rPr>
          <w:rFonts w:asciiTheme="majorBidi" w:hAnsiTheme="majorBidi" w:cstheme="majorBidi" w:hint="cs"/>
          <w:sz w:val="24"/>
          <w:szCs w:val="24"/>
          <w:rtl/>
        </w:rPr>
        <w:t xml:space="preserve"> </w:t>
      </w:r>
      <w:r w:rsidRPr="00B87EEC">
        <w:rPr>
          <w:rFonts w:asciiTheme="majorBidi" w:hAnsiTheme="majorBidi" w:cstheme="majorBidi"/>
          <w:b/>
          <w:bCs/>
          <w:sz w:val="24"/>
          <w:szCs w:val="24"/>
        </w:rPr>
        <w:fldChar w:fldCharType="begin" w:fldLock="1"/>
      </w:r>
      <w:r w:rsidR="00946941" w:rsidRPr="00B87EEC">
        <w:rPr>
          <w:rFonts w:asciiTheme="majorBidi" w:hAnsiTheme="majorBidi" w:cstheme="majorBidi"/>
          <w:b/>
          <w:bCs/>
          <w:sz w:val="24"/>
          <w:szCs w:val="24"/>
        </w:rPr>
        <w:instrText>ADDIN CSL_CITATION {"citationItems":[{"id":"ITEM-1","itemData":{"DOI":"10.1016/j.ijheh.2019.01.009","ISSN":"1618131X","abstract":"Fipronil is a highly effective insecticide with extensive usages; however, its distribution and toxic/health effects in the human population after chronic exposure have not yet been clearly identified. Our objectives were to determine the levels of serum fipronil and fipronil sulfone, a primary fipronil metabolite, in a general and sensitive human population using a birth cohort of parent-infant triads in Korea. We further investigated whether in utero exposure to fipronil and fipronil sulfone can affect health outcomes in newborn infants. Blood and umbilical cord blood from 169 participants, 59 mother-neonate pairs and 51 matching biological fathers, were collected; serum fipronil and fipronil sulfone (both blood and cord blood) and serum thyroid hormones (cord blood) were measured. Demographic, physiological, behavioral, clinical, and socioeconomic data for each participant were collected via a one-on-one interview and a questionnaire survey. Fipronil sulfone was detected in the serum of mothers, fathers, and infantile cord blood, while fipronil itself was not. Maternal fipronil sulfone levels were correlated to those of matched biological fathers and newborn infants. Adjusted analyses identified significant associations between parental fipronil sulfone levels and household income. Infantile fipronil sulfone levels were significantly associated with both maternal and paternal levels as well as maternal pre-pregnant BMI. Furthermore, infantile fipronil sulfone levels were inversely associated with cord blood T3 and free T3 levels as well as 5-min Apgar scores of newborn infants. Serum fipronil sulfone was detected in a specific population of mother-neonate pairs and their matched biological fathers in a manner suggestive of regular exposure to fipronil among urban residents. The findings also suggest that serum fipronil sulfone placentally transfers to the fetus and affects infantile adverse health outcomes. This is a first of its kind study; therefore, future studies are warranted.","author":[{"dropping-particle":"","family":"Kim","given":"Young Ah","non-dropping-particle":"","parse-names":false,"suffix":""},{"dropping-particle":"","family":"Yoon","given":"Yeong Sook","non-dropping-particle":"","parse-names":false,"suffix":""},{"dropping-particle":"","family":"Kim","given":"Hee Sun","non-dropping-particle":"","parse-names":false,"suffix":""},{"dropping-particle":"","family":"Jeon","given":"Se Jeong","non-dropping-particle":"","parse-names":false,"suffix":""},{"dropping-particle":"","family":"Cole","given":"Elizabeth","non-dropping-particle":"","parse-names":false,"suffix":""},{"dropping-particle":"","family":"Lee","given":"Jeongsun","non-dropping-particle":"","parse-names":false,"suffix":""},{"dropping-particle":"","family":"Kho","given":"Younglim","non-dropping-particle":"","parse-names":false,"suffix":""},{"dropping-particle":"","family":"Cho","given":"Yoon Hee","non-dropping-particle":"","parse-names":false,"suffix":""}],"container-title":"International Journal of Hygiene and Environmental Health","id":"ITEM-1","issue":"3","issued":{"date-parts":[["2019"]]},"page":"524-532","publisher":"Elsevier","title":"Distribution of fipronil in humans, and adverse health outcomes of in utero fipronil sulfone exposure in newborns","type":"article-journal","volume":"222"},"uris":["http://www.mendeley.com/documents/?uuid=ac57f947-41d6-46f3-9e08-c9cb8e5fcb32"]}],"mendeley":{"formattedCitation":"(Kim et al., 2019)","plainTextFormattedCitation":"(Kim et al., 2019)","previouslyFormattedCitation":"(Kim et al., 2019)"},"properties":{"noteIndex":0},"schema":"https://github.com/citation-style-language/schema/raw/master/csl-citation.json"}</w:instrText>
      </w:r>
      <w:r w:rsidRPr="00B87EEC">
        <w:rPr>
          <w:rFonts w:asciiTheme="majorBidi" w:hAnsiTheme="majorBidi" w:cstheme="majorBidi"/>
          <w:b/>
          <w:bCs/>
          <w:sz w:val="24"/>
          <w:szCs w:val="24"/>
        </w:rPr>
        <w:fldChar w:fldCharType="separate"/>
      </w:r>
      <w:r w:rsidRPr="00B87EEC">
        <w:rPr>
          <w:rFonts w:asciiTheme="majorBidi" w:hAnsiTheme="majorBidi" w:cstheme="majorBidi"/>
          <w:b/>
          <w:bCs/>
          <w:noProof/>
          <w:sz w:val="24"/>
          <w:szCs w:val="24"/>
        </w:rPr>
        <w:t xml:space="preserve">(Kim </w:t>
      </w:r>
      <w:r w:rsidRPr="00B87EEC">
        <w:rPr>
          <w:rFonts w:asciiTheme="majorBidi" w:hAnsiTheme="majorBidi" w:cstheme="majorBidi"/>
          <w:b/>
          <w:bCs/>
          <w:i/>
          <w:noProof/>
          <w:sz w:val="24"/>
          <w:szCs w:val="24"/>
        </w:rPr>
        <w:t>et al</w:t>
      </w:r>
      <w:r w:rsidRPr="00B87EEC">
        <w:rPr>
          <w:rFonts w:asciiTheme="majorBidi" w:hAnsiTheme="majorBidi" w:cstheme="majorBidi"/>
          <w:b/>
          <w:bCs/>
          <w:noProof/>
          <w:sz w:val="24"/>
          <w:szCs w:val="24"/>
        </w:rPr>
        <w:t>., 2019)</w:t>
      </w:r>
      <w:r w:rsidRPr="00B87EEC">
        <w:rPr>
          <w:rFonts w:asciiTheme="majorBidi" w:hAnsiTheme="majorBidi" w:cstheme="majorBidi"/>
          <w:b/>
          <w:bCs/>
          <w:sz w:val="24"/>
          <w:szCs w:val="24"/>
        </w:rPr>
        <w:fldChar w:fldCharType="end"/>
      </w:r>
      <w:r w:rsidRPr="00B87EEC">
        <w:rPr>
          <w:rFonts w:asciiTheme="majorBidi" w:hAnsiTheme="majorBidi" w:cstheme="majorBidi" w:hint="cs"/>
          <w:b/>
          <w:bCs/>
          <w:sz w:val="24"/>
          <w:szCs w:val="24"/>
          <w:rtl/>
        </w:rPr>
        <w:t xml:space="preserve"> .</w:t>
      </w:r>
      <w:r w:rsidR="00F624B5" w:rsidRPr="00B87EEC">
        <w:rPr>
          <w:rFonts w:asciiTheme="majorBidi" w:hAnsiTheme="majorBidi" w:cstheme="majorBidi"/>
          <w:sz w:val="24"/>
          <w:szCs w:val="24"/>
        </w:rPr>
        <w:t xml:space="preserve"> Its insecticidal action appears through antagonizing the gamma-amino butyric acid receptor as well as glutamate- activated chloride channels</w:t>
      </w:r>
      <w:r w:rsidR="00F624B5" w:rsidRPr="00B87EEC">
        <w:rPr>
          <w:rFonts w:asciiTheme="majorBidi" w:hAnsiTheme="majorBidi" w:cstheme="majorBidi" w:hint="cs"/>
          <w:b/>
          <w:bCs/>
          <w:sz w:val="24"/>
          <w:szCs w:val="24"/>
          <w:rtl/>
        </w:rPr>
        <w:t xml:space="preserve"> </w:t>
      </w:r>
      <w:r w:rsidR="00F624B5" w:rsidRPr="00B87EEC">
        <w:rPr>
          <w:rFonts w:asciiTheme="majorBidi" w:hAnsiTheme="majorBidi" w:cstheme="majorBidi"/>
          <w:b/>
          <w:bCs/>
          <w:sz w:val="24"/>
          <w:szCs w:val="24"/>
          <w:rtl/>
        </w:rPr>
        <w:fldChar w:fldCharType="begin" w:fldLock="1"/>
      </w:r>
      <w:r w:rsidR="00946941" w:rsidRPr="00B87EEC">
        <w:rPr>
          <w:rFonts w:asciiTheme="majorBidi" w:hAnsiTheme="majorBidi" w:cstheme="majorBidi"/>
          <w:b/>
          <w:bCs/>
          <w:sz w:val="24"/>
          <w:szCs w:val="24"/>
        </w:rPr>
        <w:instrText>ADDIN CSL_CITATION {"citationItems":[{"id":"ITEM-1","itemData":{"DOI":"10.1124/jpet.104.065516","ISSN":"00223565","abstract":"Fipronil, a phenylpyrazole insecticide, displays high insecticidal activity and reduced mammalian toxicity. To better elucidate the mechanism of its selective toxicity between insects and mammals and activity against dieldrin-resistant insects, we studied fipronil action on glutamate-gated chloride channels (GluCls), unique invertebrate ligand-gated chloride channels, in cockroach thoracic ganglion neurons, using the whole-cell patch clamp technique. Glutamate evoked two types of chloride currents, a desensitizing current and a nondesensitizing current. Fipronil differentially inhibited these two types of currents with different potencies and with different rates of reversibility. Fipronil inhibited the desensitizing and nondesensitizing GluCls with IC50 values of 801 and 10 nM, respectively. Kinetic analysis revealed that fipronil blocks required channel opening. Recovery of the desensitizing current from fipronil block required channel opening, whereas recovery of nondesensitizing current from block was independent of channel opening. The high potency of fipronil against the nondesensitizing current was due to a slow unblocking rate constant. In addition, when the nondesensitizing GluCls were occupied by picrotoxinin, the receptors became less sensitive to fipronil block. It is concluded that GluCls are a critical target for fipronil, especially for the selective toxicity between mammals and insects, and that fipronil block of GluCls may play a role in the lack of the cross-resistance with dieldrin.","author":[{"dropping-particle":"","family":"Zhao","given":"Xilong","non-dropping-particle":"","parse-names":false,"suffix":""},{"dropping-particle":"","family":"Yeh","given":"Jay Z.","non-dropping-particle":"","parse-names":false,"suffix":""},{"dropping-particle":"","family":"Salgado","given":"Vincent L.","non-dropping-particle":"","parse-names":false,"suffix":""},{"dropping-particle":"","family":"Narahashi","given":"Toshio","non-dropping-particle":"","parse-names":false,"suffix":""}],"container-title":"Journal of Pharmacology and Experimental Therapeutics","id":"ITEM-1","issue":"1","issued":{"date-parts":[["2004"]]},"page":"192-201","title":"Fipronil is a potent open channel blocker of glutamate-activated chloride channels in cockroach neurons","type":"article-journal","volume":"310"},"uris":["http://www.mendeley.com/documents/?uuid=2e20f9e7-a8b1-48de-8ba6-cb2904d248db"]}],"mendeley":{"formattedCitation":"(Zhao, Yeh, Salgado, &amp; Narahashi, 2004)","manualFormatting":"(Zhao et al., 2004)","plainTextFormattedCitation":"(Zhao, Yeh, Salgado, &amp; Narahashi, 2004)","previouslyFormattedCitation":"(Zhao, Yeh, Salgado, &amp; Narahashi, 2004)"},"properties":{"noteIndex":0},"schema":"https://github.com/citation-style-language/schema/raw/master/csl-citation.json"}</w:instrText>
      </w:r>
      <w:r w:rsidR="00F624B5" w:rsidRPr="00B87EEC">
        <w:rPr>
          <w:rFonts w:asciiTheme="majorBidi" w:hAnsiTheme="majorBidi" w:cstheme="majorBidi"/>
          <w:b/>
          <w:bCs/>
          <w:sz w:val="24"/>
          <w:szCs w:val="24"/>
          <w:rtl/>
        </w:rPr>
        <w:fldChar w:fldCharType="separate"/>
      </w:r>
      <w:r w:rsidR="00835ED5" w:rsidRPr="00B87EEC">
        <w:rPr>
          <w:rFonts w:asciiTheme="majorBidi" w:hAnsiTheme="majorBidi" w:cstheme="majorBidi"/>
          <w:b/>
          <w:bCs/>
          <w:noProof/>
          <w:sz w:val="24"/>
          <w:szCs w:val="24"/>
        </w:rPr>
        <w:t>(Zhao</w:t>
      </w:r>
      <w:r w:rsidR="00946941" w:rsidRPr="00B87EEC">
        <w:rPr>
          <w:rFonts w:asciiTheme="majorBidi" w:hAnsiTheme="majorBidi" w:cstheme="majorBidi" w:hint="cs"/>
          <w:b/>
          <w:bCs/>
          <w:i/>
          <w:iCs/>
          <w:noProof/>
          <w:sz w:val="24"/>
          <w:szCs w:val="24"/>
          <w:rtl/>
        </w:rPr>
        <w:t xml:space="preserve"> </w:t>
      </w:r>
      <w:r w:rsidR="00946941" w:rsidRPr="00B87EEC">
        <w:rPr>
          <w:rFonts w:asciiTheme="majorBidi" w:hAnsiTheme="majorBidi" w:cstheme="majorBidi"/>
          <w:b/>
          <w:bCs/>
          <w:i/>
          <w:iCs/>
          <w:noProof/>
          <w:sz w:val="24"/>
          <w:szCs w:val="24"/>
        </w:rPr>
        <w:t>et al.</w:t>
      </w:r>
      <w:r w:rsidR="00946941" w:rsidRPr="00B87EEC">
        <w:rPr>
          <w:rFonts w:asciiTheme="majorBidi" w:hAnsiTheme="majorBidi" w:cstheme="majorBidi"/>
          <w:b/>
          <w:bCs/>
          <w:noProof/>
          <w:sz w:val="24"/>
          <w:szCs w:val="24"/>
        </w:rPr>
        <w:t xml:space="preserve">, </w:t>
      </w:r>
      <w:r w:rsidR="00835ED5" w:rsidRPr="00B87EEC">
        <w:rPr>
          <w:rFonts w:asciiTheme="majorBidi" w:hAnsiTheme="majorBidi" w:cstheme="majorBidi"/>
          <w:b/>
          <w:bCs/>
          <w:noProof/>
          <w:sz w:val="24"/>
          <w:szCs w:val="24"/>
        </w:rPr>
        <w:t>2004)</w:t>
      </w:r>
      <w:r w:rsidR="00F624B5" w:rsidRPr="00B87EEC">
        <w:rPr>
          <w:rFonts w:asciiTheme="majorBidi" w:hAnsiTheme="majorBidi" w:cstheme="majorBidi"/>
          <w:b/>
          <w:bCs/>
          <w:sz w:val="24"/>
          <w:szCs w:val="24"/>
          <w:rtl/>
        </w:rPr>
        <w:fldChar w:fldCharType="end"/>
      </w:r>
      <w:r w:rsidR="00F624B5" w:rsidRPr="00B87EEC">
        <w:rPr>
          <w:rFonts w:asciiTheme="majorBidi" w:hAnsiTheme="majorBidi" w:cstheme="majorBidi"/>
          <w:b/>
          <w:bCs/>
          <w:sz w:val="24"/>
          <w:szCs w:val="24"/>
        </w:rPr>
        <w:t>,</w:t>
      </w:r>
      <w:r w:rsidR="00F624B5" w:rsidRPr="00B87EEC">
        <w:rPr>
          <w:rFonts w:asciiTheme="majorBidi" w:hAnsiTheme="majorBidi" w:cstheme="majorBidi"/>
          <w:sz w:val="24"/>
          <w:szCs w:val="24"/>
        </w:rPr>
        <w:t xml:space="preserve"> leading to depression in the central nervous system and death </w:t>
      </w:r>
      <w:r w:rsidR="00F624B5" w:rsidRPr="00B87EEC">
        <w:rPr>
          <w:rFonts w:asciiTheme="majorBidi" w:hAnsiTheme="majorBidi" w:cstheme="majorBidi"/>
          <w:b/>
          <w:bCs/>
          <w:sz w:val="24"/>
          <w:szCs w:val="24"/>
        </w:rPr>
        <w:fldChar w:fldCharType="begin" w:fldLock="1"/>
      </w:r>
      <w:r w:rsidR="00946941" w:rsidRPr="00B87EEC">
        <w:rPr>
          <w:rFonts w:asciiTheme="majorBidi" w:hAnsiTheme="majorBidi" w:cstheme="majorBidi"/>
          <w:b/>
          <w:bCs/>
          <w:sz w:val="24"/>
          <w:szCs w:val="24"/>
        </w:rPr>
        <w:instrText>ADDIN CSL_CITATION {"citationItems":[{"id":"ITEM-1","itemData":{"DOI":"10.1016/j.cbi.2006.09.013","author":[{"dropping-particle":"","family":"Das","given":"Parikshit C","non-dropping-particle":"","parse-names":false,"suffix":""},{"dropping-particle":"","family":"Cao","given":"Yan","non-dropping-particle":"","parse-names":false,"suffix":""},{"dropping-particle":"","family":"Cherrington","given":"Nathan","non-dropping-particle":"","parse-names":false,"suffix":""},{"dropping-particle":"","family":"Hodgson","given":"Ernest","non-dropping-particle":"","parse-names":false,"suffix":""},{"dropping-particle":"","family":"Rose","given":"Randy L","non-dropping-particle":"","parse-names":false,"suffix":""}],"id":"ITEM-1","issue":"May","issued":{"date-parts":[["2006"]]},"page":"200-214","title":"Fipronil induces CYP isoforms and cytotoxicity in human hepatocytes","type":"article-journal","volume":"164"},"uris":["http://www.mendeley.com/documents/?uuid=1ad32d73-5cc9-412e-bbcb-b458769a41f3"]}],"mendeley":{"formattedCitation":"(Das, Cao, Cherrington, Hodgson, &amp; Rose, 2006)","manualFormatting":"(Das et al ., 2006)","plainTextFormattedCitation":"(Das, Cao, Cherrington, Hodgson, &amp; Rose, 2006)","previouslyFormattedCitation":"(Das, Cao, Cherrington, Hodgson, &amp; Rose, 2006)"},"properties":{"noteIndex":0},"schema":"https://github.com/citation-style-language/schema/raw/master/csl-citation.json"}</w:instrText>
      </w:r>
      <w:r w:rsidR="00F624B5" w:rsidRPr="00B87EEC">
        <w:rPr>
          <w:rFonts w:asciiTheme="majorBidi" w:hAnsiTheme="majorBidi" w:cstheme="majorBidi"/>
          <w:b/>
          <w:bCs/>
          <w:sz w:val="24"/>
          <w:szCs w:val="24"/>
        </w:rPr>
        <w:fldChar w:fldCharType="separate"/>
      </w:r>
      <w:r w:rsidR="00835ED5" w:rsidRPr="00B87EEC">
        <w:rPr>
          <w:rFonts w:asciiTheme="majorBidi" w:hAnsiTheme="majorBidi" w:cstheme="majorBidi"/>
          <w:b/>
          <w:bCs/>
          <w:noProof/>
          <w:sz w:val="24"/>
          <w:szCs w:val="24"/>
        </w:rPr>
        <w:t>(Das</w:t>
      </w:r>
      <w:r w:rsidR="00946941" w:rsidRPr="00B87EEC">
        <w:rPr>
          <w:rFonts w:asciiTheme="majorBidi" w:hAnsiTheme="majorBidi" w:cstheme="majorBidi"/>
          <w:b/>
          <w:bCs/>
          <w:noProof/>
          <w:sz w:val="24"/>
          <w:szCs w:val="24"/>
        </w:rPr>
        <w:t xml:space="preserve"> </w:t>
      </w:r>
      <w:r w:rsidR="00946941" w:rsidRPr="00B87EEC">
        <w:rPr>
          <w:rFonts w:asciiTheme="majorBidi" w:hAnsiTheme="majorBidi" w:cstheme="majorBidi"/>
          <w:b/>
          <w:bCs/>
          <w:i/>
          <w:iCs/>
          <w:noProof/>
          <w:sz w:val="24"/>
          <w:szCs w:val="24"/>
        </w:rPr>
        <w:t>et al</w:t>
      </w:r>
      <w:r w:rsidR="00946941" w:rsidRPr="00B87EEC">
        <w:rPr>
          <w:rFonts w:asciiTheme="majorBidi" w:hAnsiTheme="majorBidi" w:cstheme="majorBidi"/>
          <w:b/>
          <w:bCs/>
          <w:noProof/>
          <w:sz w:val="24"/>
          <w:szCs w:val="24"/>
        </w:rPr>
        <w:t xml:space="preserve"> ., </w:t>
      </w:r>
      <w:r w:rsidR="00835ED5" w:rsidRPr="00B87EEC">
        <w:rPr>
          <w:rFonts w:asciiTheme="majorBidi" w:hAnsiTheme="majorBidi" w:cstheme="majorBidi"/>
          <w:b/>
          <w:bCs/>
          <w:noProof/>
          <w:sz w:val="24"/>
          <w:szCs w:val="24"/>
        </w:rPr>
        <w:t>2006)</w:t>
      </w:r>
      <w:r w:rsidR="00F624B5" w:rsidRPr="00B87EEC">
        <w:rPr>
          <w:rFonts w:asciiTheme="majorBidi" w:hAnsiTheme="majorBidi" w:cstheme="majorBidi"/>
          <w:b/>
          <w:bCs/>
          <w:sz w:val="24"/>
          <w:szCs w:val="24"/>
        </w:rPr>
        <w:fldChar w:fldCharType="end"/>
      </w:r>
      <w:r w:rsidR="00F624B5" w:rsidRPr="00B87EEC">
        <w:rPr>
          <w:rFonts w:asciiTheme="majorBidi" w:hAnsiTheme="majorBidi" w:cstheme="majorBidi"/>
          <w:sz w:val="24"/>
          <w:szCs w:val="24"/>
        </w:rPr>
        <w:t xml:space="preserve">. Fipronil is extremely toxic to many non-target groups of animals, including aquatic invertebrates, fishes, birds, and mammals </w:t>
      </w:r>
      <w:r w:rsidR="00946941" w:rsidRPr="00B87EEC">
        <w:rPr>
          <w:rFonts w:asciiTheme="majorBidi" w:hAnsiTheme="majorBidi" w:cstheme="majorBidi"/>
          <w:b/>
          <w:bCs/>
          <w:sz w:val="24"/>
          <w:szCs w:val="24"/>
        </w:rPr>
        <w:fldChar w:fldCharType="begin" w:fldLock="1"/>
      </w:r>
      <w:r w:rsidR="00946941" w:rsidRPr="00B87EEC">
        <w:rPr>
          <w:rFonts w:asciiTheme="majorBidi" w:hAnsiTheme="majorBidi" w:cstheme="majorBidi"/>
          <w:b/>
          <w:bCs/>
          <w:sz w:val="24"/>
          <w:szCs w:val="24"/>
        </w:rPr>
        <w:instrText>ADDIN CSL_CITATION {"citationItems":[{"id":"ITEM-1","itemData":{"ISSN":"00471917","abstract":"The acute toxicity of fipronil on mature Japanese quails was investigated. Birds received a single oral dose of fipronil at doses of LD50 (11.3 mg / kg), 1/2 LD50, 1/5 LD50 and 1/10 LD50. All the birds were slaughtered 96h post administration. Specimens from liver, muscle and abdominal fat were collected for applying single cell gel electrophoresis (SCGE) technique, histopathological examination and residual analysis of fipronil. Fipronil increased the percentage of DNA damage and the histopathological alterations in tissues of quails mostly at high doses. Fipronil were residues detected in all examined samples with variable concentrations even in the tissues of control group although there was no any clinical signs or symptoms.","author":[{"dropping-particle":"","family":"Mohammed","given":"Amany Tharwat","non-dropping-particle":"","parse-names":false,"suffix":""},{"dropping-particle":"","family":"Imam","given":"Tamer Said","non-dropping-particle":"","parse-names":false,"suffix":""},{"dropping-particle":"","family":"Farag","given":"Mayada Ragab","non-dropping-particle":"","parse-names":false,"suffix":""},{"dropping-particle":"","family":"Ghoneim","given":"Mervat Hassan","non-dropping-particle":"","parse-names":false,"suffix":""}],"container-title":"Japanese Journal of Veterinary Research","id":"ITEM-1","issued":{"date-parts":[["2016"]]},"page":"S243-S249","title":"Assessment of the toxic impacts of acute exposure to fipronil insecticide on Japanese quails","type":"article-journal","volume":"64"},"uris":["http://www.mendeley.com/documents/?uuid=d91a6769-02b6-43cd-8178-8acafd1c565b"]}],"mendeley":{"formattedCitation":"(Mohammed, Imam, Farag, &amp; Ghoneim, 2016)","manualFormatting":"(Mohammed et al., 2016)","plainTextFormattedCitation":"(Mohammed, Imam, Farag, &amp; Ghoneim, 2016)","previouslyFormattedCitation":"(Mohammed, Imam, Farag, &amp; Ghoneim, 2016)"},"properties":{"noteIndex":0},"schema":"https://github.com/citation-style-language/schema/raw/master/csl-citation.json"}</w:instrText>
      </w:r>
      <w:r w:rsidR="00946941" w:rsidRPr="00B87EEC">
        <w:rPr>
          <w:rFonts w:asciiTheme="majorBidi" w:hAnsiTheme="majorBidi" w:cstheme="majorBidi"/>
          <w:b/>
          <w:bCs/>
          <w:sz w:val="24"/>
          <w:szCs w:val="24"/>
        </w:rPr>
        <w:fldChar w:fldCharType="separate"/>
      </w:r>
      <w:r w:rsidR="00946941" w:rsidRPr="00B87EEC">
        <w:rPr>
          <w:rFonts w:asciiTheme="majorBidi" w:hAnsiTheme="majorBidi" w:cstheme="majorBidi"/>
          <w:b/>
          <w:bCs/>
          <w:noProof/>
          <w:sz w:val="24"/>
          <w:szCs w:val="24"/>
        </w:rPr>
        <w:t xml:space="preserve">(Mohammed </w:t>
      </w:r>
      <w:r w:rsidR="00946941" w:rsidRPr="00B87EEC">
        <w:rPr>
          <w:rFonts w:asciiTheme="majorBidi" w:hAnsiTheme="majorBidi" w:cstheme="majorBidi"/>
          <w:b/>
          <w:bCs/>
          <w:i/>
          <w:iCs/>
          <w:noProof/>
          <w:sz w:val="24"/>
          <w:szCs w:val="24"/>
        </w:rPr>
        <w:t>et al</w:t>
      </w:r>
      <w:r w:rsidR="00946941" w:rsidRPr="00B87EEC">
        <w:rPr>
          <w:rFonts w:asciiTheme="majorBidi" w:hAnsiTheme="majorBidi" w:cstheme="majorBidi"/>
          <w:b/>
          <w:bCs/>
          <w:noProof/>
          <w:sz w:val="24"/>
          <w:szCs w:val="24"/>
        </w:rPr>
        <w:t>., 2016)</w:t>
      </w:r>
      <w:r w:rsidR="00946941" w:rsidRPr="00B87EEC">
        <w:rPr>
          <w:rFonts w:asciiTheme="majorBidi" w:hAnsiTheme="majorBidi" w:cstheme="majorBidi"/>
          <w:b/>
          <w:bCs/>
          <w:sz w:val="24"/>
          <w:szCs w:val="24"/>
        </w:rPr>
        <w:fldChar w:fldCharType="end"/>
      </w:r>
      <w:r w:rsidR="00835ED5" w:rsidRPr="00B87EEC">
        <w:rPr>
          <w:rFonts w:asciiTheme="majorBidi" w:hAnsiTheme="majorBidi" w:cstheme="majorBidi"/>
          <w:sz w:val="24"/>
          <w:szCs w:val="24"/>
        </w:rPr>
        <w:t>,</w:t>
      </w:r>
      <w:r w:rsidR="00F624B5" w:rsidRPr="00B87EEC">
        <w:rPr>
          <w:rFonts w:asciiTheme="majorBidi" w:hAnsiTheme="majorBidi" w:cstheme="majorBidi"/>
          <w:sz w:val="24"/>
          <w:szCs w:val="24"/>
        </w:rPr>
        <w:t xml:space="preserve"> classified as a possible human carcinogen </w:t>
      </w:r>
      <w:r w:rsidR="00835ED5" w:rsidRPr="00B87EEC">
        <w:rPr>
          <w:rFonts w:asciiTheme="majorBidi" w:hAnsiTheme="majorBidi" w:cstheme="majorBidi"/>
          <w:sz w:val="24"/>
          <w:szCs w:val="24"/>
        </w:rPr>
        <w:t>depend</w:t>
      </w:r>
      <w:r w:rsidR="00F624B5" w:rsidRPr="00B87EEC">
        <w:rPr>
          <w:rFonts w:asciiTheme="majorBidi" w:hAnsiTheme="majorBidi" w:cstheme="majorBidi"/>
          <w:sz w:val="24"/>
          <w:szCs w:val="24"/>
        </w:rPr>
        <w:t xml:space="preserve"> on increase in thyroid follicular cells tumors in both sexes of the rats</w:t>
      </w:r>
      <w:r w:rsidR="00F472DB" w:rsidRPr="00B87EEC">
        <w:rPr>
          <w:rFonts w:asciiTheme="majorBidi" w:hAnsiTheme="majorBidi" w:cstheme="majorBidi"/>
          <w:b/>
          <w:bCs/>
          <w:i/>
          <w:iCs/>
          <w:sz w:val="24"/>
          <w:szCs w:val="24"/>
        </w:rPr>
        <w:t xml:space="preserve"> </w:t>
      </w:r>
      <w:r w:rsidR="00946941" w:rsidRPr="00B87EEC">
        <w:rPr>
          <w:rFonts w:asciiTheme="majorBidi" w:hAnsiTheme="majorBidi" w:cstheme="majorBidi"/>
          <w:b/>
          <w:bCs/>
          <w:i/>
          <w:iCs/>
          <w:sz w:val="24"/>
          <w:szCs w:val="24"/>
        </w:rPr>
        <w:fldChar w:fldCharType="begin" w:fldLock="1"/>
      </w:r>
      <w:r w:rsidR="000535AF" w:rsidRPr="00B87EEC">
        <w:rPr>
          <w:rFonts w:asciiTheme="majorBidi" w:hAnsiTheme="majorBidi" w:cstheme="majorBidi"/>
          <w:b/>
          <w:bCs/>
          <w:i/>
          <w:iCs/>
          <w:sz w:val="24"/>
          <w:szCs w:val="24"/>
        </w:rPr>
        <w:instrText>ADDIN CSL_CITATION {"citationItems":[{"id":"ITEM-1","itemData":{"DOI":"10.1016/j.tox.2008.09.026","author":[{"dropping-particle":"","family":"Leghait, J.; Veronique, G.; Nicole, P. H.; Marion, C.; Elisa- beth, P. and Pierre-Louis","given":"T","non-dropping-particle":"","parse-names":false,"suffix":""}],"id":"ITEM-1","issued":{"date-parts":[["2009"]]},"page":"38-44","title":"Fipronil-induced disruption of thyroid function in rats is mediated by increased total and free thyroxine clearances concomitantly to increased activity of hepatic enzymes","type":"article-journal","volume":"255"},"uris":["http://www.mendeley.com/documents/?uuid=dbf2e19b-191e-4903-8ca4-94710015dc65"]}],"mendeley":{"formattedCitation":"(Leghait, J.; Veronique, G.; Nicole, P. H.; Marion, C.; Elisa- beth, P. and Pierre-Louis, 2009)","manualFormatting":"(Leghait et al ., 2009)","plainTextFormattedCitation":"(Leghait, J.; Veronique, G.; Nicole, P. H.; Marion, C.; Elisa- beth, P. and Pierre-Louis, 2009)","previouslyFormattedCitation":"(Leghait, J.; Veronique, G.; Nicole, P. H.; Marion, C.; Elisa- beth, P. and Pierre-Louis, 2009)"},"properties":{"noteIndex":0},"schema":"https://github.com/citation-style-language/schema/raw/master/csl-citation.json"}</w:instrText>
      </w:r>
      <w:r w:rsidR="00946941" w:rsidRPr="00B87EEC">
        <w:rPr>
          <w:rFonts w:asciiTheme="majorBidi" w:hAnsiTheme="majorBidi" w:cstheme="majorBidi"/>
          <w:b/>
          <w:bCs/>
          <w:i/>
          <w:iCs/>
          <w:sz w:val="24"/>
          <w:szCs w:val="24"/>
        </w:rPr>
        <w:fldChar w:fldCharType="separate"/>
      </w:r>
      <w:r w:rsidR="00F472DB" w:rsidRPr="00B87EEC">
        <w:rPr>
          <w:rFonts w:asciiTheme="majorBidi" w:hAnsiTheme="majorBidi" w:cstheme="majorBidi"/>
          <w:b/>
          <w:bCs/>
          <w:iCs/>
          <w:noProof/>
          <w:sz w:val="24"/>
          <w:szCs w:val="24"/>
        </w:rPr>
        <w:t xml:space="preserve">(Leghait </w:t>
      </w:r>
      <w:r w:rsidR="00F472DB" w:rsidRPr="00B87EEC">
        <w:rPr>
          <w:rFonts w:asciiTheme="majorBidi" w:hAnsiTheme="majorBidi" w:cstheme="majorBidi"/>
          <w:b/>
          <w:bCs/>
          <w:i/>
          <w:noProof/>
          <w:sz w:val="24"/>
          <w:szCs w:val="24"/>
        </w:rPr>
        <w:t>et al</w:t>
      </w:r>
      <w:r w:rsidR="00F472DB" w:rsidRPr="00B87EEC">
        <w:rPr>
          <w:rFonts w:asciiTheme="majorBidi" w:hAnsiTheme="majorBidi" w:cstheme="majorBidi"/>
          <w:b/>
          <w:bCs/>
          <w:iCs/>
          <w:noProof/>
          <w:sz w:val="24"/>
          <w:szCs w:val="24"/>
        </w:rPr>
        <w:t xml:space="preserve"> ., 2009)</w:t>
      </w:r>
      <w:r w:rsidR="00946941" w:rsidRPr="00B87EEC">
        <w:rPr>
          <w:rFonts w:asciiTheme="majorBidi" w:hAnsiTheme="majorBidi" w:cstheme="majorBidi"/>
          <w:b/>
          <w:bCs/>
          <w:i/>
          <w:iCs/>
          <w:sz w:val="24"/>
          <w:szCs w:val="24"/>
        </w:rPr>
        <w:fldChar w:fldCharType="end"/>
      </w:r>
      <w:r w:rsidR="00835ED5" w:rsidRPr="00B87EEC">
        <w:rPr>
          <w:rFonts w:asciiTheme="majorBidi" w:hAnsiTheme="majorBidi" w:cstheme="majorBidi"/>
          <w:i/>
          <w:iCs/>
          <w:sz w:val="24"/>
          <w:szCs w:val="24"/>
        </w:rPr>
        <w:t>.</w:t>
      </w:r>
      <w:r w:rsidR="00835ED5" w:rsidRPr="00B87EEC">
        <w:rPr>
          <w:rFonts w:asciiTheme="majorBidi" w:hAnsiTheme="majorBidi" w:cstheme="majorBidi"/>
          <w:b/>
          <w:bCs/>
          <w:i/>
          <w:iCs/>
          <w:sz w:val="24"/>
          <w:szCs w:val="24"/>
        </w:rPr>
        <w:t xml:space="preserve"> </w:t>
      </w:r>
      <w:r w:rsidR="00DD13F2" w:rsidRPr="00DD13F2">
        <w:rPr>
          <w:rFonts w:asciiTheme="majorBidi" w:hAnsiTheme="majorBidi" w:cstheme="majorBidi"/>
          <w:sz w:val="24"/>
          <w:szCs w:val="24"/>
        </w:rPr>
        <w:t>FPN can be metabolized in the environment into fipronil-</w:t>
      </w:r>
      <w:proofErr w:type="spellStart"/>
      <w:r w:rsidR="00DD13F2" w:rsidRPr="00DD13F2">
        <w:rPr>
          <w:rFonts w:asciiTheme="majorBidi" w:hAnsiTheme="majorBidi" w:cstheme="majorBidi"/>
          <w:sz w:val="24"/>
          <w:szCs w:val="24"/>
        </w:rPr>
        <w:t>desulfinyl</w:t>
      </w:r>
      <w:proofErr w:type="spellEnd"/>
      <w:r w:rsidR="00DD13F2" w:rsidRPr="00DD13F2">
        <w:rPr>
          <w:rFonts w:asciiTheme="majorBidi" w:hAnsiTheme="majorBidi" w:cstheme="majorBidi"/>
          <w:sz w:val="24"/>
          <w:szCs w:val="24"/>
        </w:rPr>
        <w:t xml:space="preserve"> intermediate, which is 9–10 times more harmful to mammals than FPN itself </w:t>
      </w:r>
      <w:r w:rsidR="00DD13F2" w:rsidRPr="00DD13F2">
        <w:rPr>
          <w:rFonts w:asciiTheme="majorBidi" w:hAnsiTheme="majorBidi" w:cstheme="majorBidi"/>
          <w:b/>
          <w:bCs/>
          <w:sz w:val="24"/>
          <w:szCs w:val="24"/>
        </w:rPr>
        <w:fldChar w:fldCharType="begin" w:fldLock="1"/>
      </w:r>
      <w:r w:rsidR="00B6605D">
        <w:rPr>
          <w:rFonts w:asciiTheme="majorBidi" w:hAnsiTheme="majorBidi" w:cstheme="majorBidi"/>
          <w:b/>
          <w:bCs/>
          <w:sz w:val="24"/>
          <w:szCs w:val="24"/>
        </w:rPr>
        <w:instrText>ADDIN CSL_CITATION {"citationItems":[{"id":"ITEM-1","itemData":{"DOI":"10.1002/jemt.21043","ISSN":"1059910X","PMID":"21761502","abstract":"Fipronil, active ingredient of the acaricide Frontiline®, is a phenyl-pyrazolic derivative, and its efficacy in the elimination of several plagues, even in low concentrations, has already been demonstrated; however, its effect on nontarget organisms has not been thoroughly explained. In this sense, the objective of this study was to evaluate the effects of different dosages of fipronil on the liver of mice in artificial conditions. Results showed that the animals exposed to fipronil present significant ultrastrucutural changes in hepatic cells with evident cellular and cytoplasm disorganization in hepatocytes characterized by an increase in the number of organelles, mainly mitochondria and rough endoplasmic reticulum, organelles that, in the case of the exposed animals, were probably responsible for the enzymes' synthesis that have the function of inactivating the toxic metabolites. A fat accumulation in the hepatocytes' cytoplasm (steatosis) was observed, in addition to extended vacuolated areas, mainly in regions next to the cell nucleus. Alterations observed in the nuclei of the hepatocytes pointed out cell death processes. Moreover, Kupffer cells increased in number (hyperplasia) suggesting an increase in the phagocytic activity of the liver in the exposed animals. © 2011 Wiley Periodicals, Inc.","author":[{"dropping-particle":"","family":"Ferreira","given":"Mateus","non-dropping-particle":"","parse-names":false,"suffix":""},{"dropping-particle":"","family":"Oliveira","given":"Patrícia Rosa","non-dropping-particle":"De","parse-names":false,"suffix":""},{"dropping-particle":"","family":"Denardi","given":"Sandra Eloisi","non-dropping-particle":"","parse-names":false,"suffix":""},{"dropping-particle":"","family":"Bechara","given":"Gervásio Henrique","non-dropping-particle":"","parse-names":false,"suffix":""},{"dropping-particle":"","family":"Mathias","given":"Maria Izabel Camargo","non-dropping-particle":"","parse-names":false,"suffix":""}],"container-title":"Microscopy Research and Technique","id":"ITEM-1","issue":"2","issued":{"date-parts":[["2012"]]},"page":"197-205","title":"Action of the chemical agent fipronil (active ingredient of acaricide Frontline®) on the liver of mice: An ultrastructural analysis","type":"article-journal","volume":"75"},"uris":["http://www.mendeley.com/documents/?uuid=f5c4ec3a-bd91-4059-a8ec-005a8ecae11f"]},{"id":"ITEM-2","itemData":{"ISBN":"9781441930330","author":[{"dropping-particle":"","family":"Tingle, Colin C.D, Joachim A. Rother, Charles F. Dewhurst, Sasha Lauer","given":"and William J. King","non-dropping-particle":"","parse-names":false,"suffix":""}],"id":"ITEM-2","issued":{"date-parts":[["2003"]]},"title":"Reviews of Environmental Contamination and Toxicology","type":"book"},"uris":["http://www.mendeley.com/documents/?uuid=17560b57-6e40-4fbe-ae14-959c87253f7e"]},{"id":"ITEM-3","itemData":{"DOI":"10.1016/j.pestbp.2010.12.007","author":[{"dropping-particle":"","family":"Terçariol","given":"Galbiati","non-dropping-particle":"","parse-names":false,"suffix":""},{"dropping-particle":"","family":"Godinho","given":"Antonio Francisco","non-dropping-particle":"","parse-names":false,"suffix":""}],"id":"ITEM-3","issued":{"date-parts":[["2011"]]},"page":"221-225","title":"Behavioral effects of acute exposure to the insecticide fipronil","type":"article-journal","volume":"99"},"uris":["http://www.mendeley.com/documents/?uuid=bcd5ec84-4464-409d-8a89-23e3a4e04d30"]}],"mendeley":{"formattedCitation":"(Ferreira, De Oliveira, Denardi, Bechara, &amp; Mathias, 2012; Terçariol &amp; Godinho, 2011; Tingle, Colin C.D, Joachim A. Rother, Charles F. Dewhurst, Sasha Lauer, 2003)","manualFormatting":"(Tingle  et al., 2003; Terçariol et al., 2011; Ferreira et al., 2012)","plainTextFormattedCitation":"(Ferreira, De Oliveira, Denardi, Bechara, &amp; Mathias, 2012; Terçariol &amp; Godinho, 2011; Tingle, Colin C.D, Joachim A. Rother, Charles F. Dewhurst, Sasha Lauer, 2003)","previouslyFormattedCitation":"(Ferreira, De Oliveira, Denardi, Bechara, &amp; Mathias, 2012; Terçariol &amp; Godinho, 2011; Tingle, Colin C.D, Joachim A. Rother, Charles F. Dewhurst, Sasha Lauer, 2003)"},"properties":{"noteIndex":0},"schema":"https://github.com/citation-style-language/schema/raw/master/csl-citation.json"}</w:instrText>
      </w:r>
      <w:r w:rsidR="00DD13F2" w:rsidRPr="00DD13F2">
        <w:rPr>
          <w:rFonts w:asciiTheme="majorBidi" w:hAnsiTheme="majorBidi" w:cstheme="majorBidi"/>
          <w:b/>
          <w:bCs/>
          <w:sz w:val="24"/>
          <w:szCs w:val="24"/>
        </w:rPr>
        <w:fldChar w:fldCharType="separate"/>
      </w:r>
      <w:r w:rsidR="00DD13F2" w:rsidRPr="00DD13F2">
        <w:rPr>
          <w:rFonts w:asciiTheme="majorBidi" w:hAnsiTheme="majorBidi" w:cstheme="majorBidi"/>
          <w:b/>
          <w:bCs/>
          <w:noProof/>
          <w:sz w:val="24"/>
          <w:szCs w:val="24"/>
        </w:rPr>
        <w:t xml:space="preserve">(Tingle  </w:t>
      </w:r>
      <w:r w:rsidR="00DD13F2" w:rsidRPr="00DD13F2">
        <w:rPr>
          <w:rFonts w:asciiTheme="majorBidi" w:hAnsiTheme="majorBidi" w:cstheme="majorBidi"/>
          <w:b/>
          <w:bCs/>
          <w:i/>
          <w:iCs/>
          <w:noProof/>
          <w:sz w:val="24"/>
          <w:szCs w:val="24"/>
        </w:rPr>
        <w:t>et al</w:t>
      </w:r>
      <w:r w:rsidR="00DD13F2" w:rsidRPr="00DD13F2">
        <w:rPr>
          <w:rFonts w:asciiTheme="majorBidi" w:hAnsiTheme="majorBidi" w:cstheme="majorBidi"/>
          <w:b/>
          <w:bCs/>
          <w:noProof/>
          <w:sz w:val="24"/>
          <w:szCs w:val="24"/>
        </w:rPr>
        <w:t xml:space="preserve">., 2003; Terçariol </w:t>
      </w:r>
      <w:r w:rsidR="00DD13F2" w:rsidRPr="00DD13F2">
        <w:rPr>
          <w:rFonts w:asciiTheme="majorBidi" w:hAnsiTheme="majorBidi" w:cstheme="majorBidi"/>
          <w:b/>
          <w:bCs/>
          <w:i/>
          <w:iCs/>
          <w:noProof/>
          <w:sz w:val="24"/>
          <w:szCs w:val="24"/>
        </w:rPr>
        <w:t>et al</w:t>
      </w:r>
      <w:r w:rsidR="00DD13F2" w:rsidRPr="00DD13F2">
        <w:rPr>
          <w:rFonts w:asciiTheme="majorBidi" w:hAnsiTheme="majorBidi" w:cstheme="majorBidi"/>
          <w:b/>
          <w:bCs/>
          <w:noProof/>
          <w:sz w:val="24"/>
          <w:szCs w:val="24"/>
        </w:rPr>
        <w:t xml:space="preserve">., 2011; Ferreira </w:t>
      </w:r>
      <w:r w:rsidR="00DD13F2" w:rsidRPr="00DD13F2">
        <w:rPr>
          <w:rFonts w:asciiTheme="majorBidi" w:hAnsiTheme="majorBidi" w:cstheme="majorBidi"/>
          <w:b/>
          <w:bCs/>
          <w:i/>
          <w:iCs/>
          <w:noProof/>
          <w:sz w:val="24"/>
          <w:szCs w:val="24"/>
        </w:rPr>
        <w:t>et al</w:t>
      </w:r>
      <w:r w:rsidR="00DD13F2" w:rsidRPr="00DD13F2">
        <w:rPr>
          <w:rFonts w:asciiTheme="majorBidi" w:hAnsiTheme="majorBidi" w:cstheme="majorBidi"/>
          <w:b/>
          <w:bCs/>
          <w:noProof/>
          <w:sz w:val="24"/>
          <w:szCs w:val="24"/>
        </w:rPr>
        <w:t>., 2012)</w:t>
      </w:r>
      <w:r w:rsidR="00DD13F2" w:rsidRPr="00DD13F2">
        <w:rPr>
          <w:rFonts w:asciiTheme="majorBidi" w:hAnsiTheme="majorBidi" w:cstheme="majorBidi"/>
          <w:b/>
          <w:bCs/>
          <w:sz w:val="24"/>
          <w:szCs w:val="24"/>
        </w:rPr>
        <w:fldChar w:fldCharType="end"/>
      </w:r>
      <w:r w:rsidR="00DD13F2">
        <w:rPr>
          <w:rFonts w:asciiTheme="majorBidi" w:hAnsiTheme="majorBidi" w:cstheme="majorBidi"/>
          <w:b/>
          <w:bCs/>
          <w:sz w:val="24"/>
          <w:szCs w:val="24"/>
        </w:rPr>
        <w:t>.</w:t>
      </w:r>
    </w:p>
    <w:p w14:paraId="62B030CA" w14:textId="6624DAE8" w:rsidR="000535AF" w:rsidRPr="00B87EEC" w:rsidRDefault="00FC2A83" w:rsidP="007209BC">
      <w:pPr>
        <w:spacing w:line="360" w:lineRule="auto"/>
        <w:ind w:left="-450"/>
        <w:jc w:val="both"/>
        <w:rPr>
          <w:rFonts w:asciiTheme="majorBidi" w:hAnsiTheme="majorBidi" w:cstheme="majorBidi"/>
          <w:b/>
          <w:bCs/>
          <w:i/>
          <w:iCs/>
          <w:sz w:val="24"/>
          <w:szCs w:val="24"/>
        </w:rPr>
      </w:pPr>
      <w:r w:rsidRPr="00B87EEC">
        <w:rPr>
          <w:rFonts w:asciiTheme="majorBidi" w:hAnsiTheme="majorBidi" w:cstheme="majorBidi"/>
          <w:sz w:val="24"/>
          <w:szCs w:val="24"/>
        </w:rPr>
        <w:t xml:space="preserve">Potassium-dichromate (K2Cr2O7) is one of the soluble hexavalent chromium compounds commonly used and found in effluents </w:t>
      </w:r>
      <w:r w:rsidR="000535AF" w:rsidRPr="00B87EEC">
        <w:rPr>
          <w:rFonts w:asciiTheme="majorBidi" w:hAnsiTheme="majorBidi" w:cstheme="majorBidi"/>
          <w:sz w:val="24"/>
          <w:szCs w:val="24"/>
        </w:rPr>
        <w:t>of</w:t>
      </w:r>
      <w:r w:rsidRPr="00B87EEC">
        <w:rPr>
          <w:rFonts w:asciiTheme="majorBidi" w:hAnsiTheme="majorBidi" w:cstheme="majorBidi"/>
          <w:sz w:val="24"/>
          <w:szCs w:val="24"/>
        </w:rPr>
        <w:t xml:space="preserve"> more than 50 different industries around the world, including dye and textile manufacturing, leather tannery, wood processing, chromium plating, metallurgical and chemical industries, stainless steel factories, welding, cement manufacturing, ceramics, glass factories, and photographic</w:t>
      </w:r>
      <w:r w:rsidR="0049131D">
        <w:rPr>
          <w:rFonts w:asciiTheme="majorBidi" w:hAnsiTheme="majorBidi" w:cstheme="majorBidi"/>
          <w:sz w:val="24"/>
          <w:szCs w:val="24"/>
        </w:rPr>
        <w:t xml:space="preserve"> </w:t>
      </w:r>
      <w:r w:rsidR="0049131D" w:rsidRPr="00BC0008">
        <w:rPr>
          <w:rFonts w:asciiTheme="majorBidi" w:hAnsiTheme="majorBidi" w:cstheme="majorBidi"/>
          <w:b/>
          <w:bCs/>
          <w:i/>
          <w:iCs/>
          <w:sz w:val="24"/>
          <w:szCs w:val="24"/>
        </w:rPr>
        <w:fldChar w:fldCharType="begin" w:fldLock="1"/>
      </w:r>
      <w:r w:rsidR="00EF37B0">
        <w:rPr>
          <w:rFonts w:asciiTheme="majorBidi" w:hAnsiTheme="majorBidi" w:cstheme="majorBidi"/>
          <w:b/>
          <w:bCs/>
          <w:i/>
          <w:iCs/>
          <w:sz w:val="24"/>
          <w:szCs w:val="24"/>
        </w:rPr>
        <w:instrText>ADDIN CSL_CITATION {"citationItems":[{"id":"ITEM-1","itemData":{"DOI":"10.1080/10408440500534032","ISSN":"10408444","PMID":"16736941","abstract":"Chromium is a human carcinogen primarily by inhalation exposure in occupational settings. Although lung cancer has been established as a consequence of hexavalent chromium exposure in smokers and nonsmokers, some cancers of other tissues of the gastrointestinal and central nervous systems have also been noted. Except for a few reports from China, little is known about the health risks of environmental exposures to chromium. Likewise, there has been a lack of epidemiological studies of human exposure to hexavalent Cr by drinking water or ingestion, and it has been suggested that humans can perhaps tolerate hexavalent Cr at higher levels than the current drinking water standard of 50 ppb. This review highlights the most recent data on the induction of skin tumors in mice by chronic drinking-water exposure to hexavalent chromium in combination with solar ultraviolet light. This experimental system represents an important new animal model for chromate-induced cancers by ingestion of drinking water, and it suggests by extrapolation that chromate can likely be considered a human carcinogen by ingestion as well. The potential use of this animal model for future risk assessment is discussed. Copyright © Taylor and Francis Group, LLC.","author":[{"dropping-particle":"","family":"Costa","given":"Max","non-dropping-particle":"","parse-names":false,"suffix":""},{"dropping-particle":"","family":"Klein","given":"Catherine B.","non-dropping-particle":"","parse-names":false,"suffix":""}],"container-title":"Critical Reviews in Toxicology","id":"ITEM-1","issue":"2","issued":{"date-parts":[["2006"]]},"page":"155-163","title":"Toxicity and carcinogenicity of chromium compounds in humans","type":"article-journal","volume":"36"},"uris":["http://www.mendeley.com/documents/?uuid=4d534128-6adf-405b-b642-ab166f08a234"]}],"mendeley":{"formattedCitation":"(M. Costa &amp; Klein, 2006)","plainTextFormattedCitation":"(M. Costa &amp; Klein, 2006)","previouslyFormattedCitation":"(M. Costa &amp; Klein, 2006)"},"properties":{"noteIndex":0},"schema":"https://github.com/citation-style-language/schema/raw/master/csl-citation.json"}</w:instrText>
      </w:r>
      <w:r w:rsidR="0049131D" w:rsidRPr="00BC0008">
        <w:rPr>
          <w:rFonts w:asciiTheme="majorBidi" w:hAnsiTheme="majorBidi" w:cstheme="majorBidi"/>
          <w:b/>
          <w:bCs/>
          <w:i/>
          <w:iCs/>
          <w:sz w:val="24"/>
          <w:szCs w:val="24"/>
        </w:rPr>
        <w:fldChar w:fldCharType="separate"/>
      </w:r>
      <w:r w:rsidR="006A64CB" w:rsidRPr="006A64CB">
        <w:rPr>
          <w:rFonts w:asciiTheme="majorBidi" w:hAnsiTheme="majorBidi" w:cstheme="majorBidi"/>
          <w:bCs/>
          <w:iCs/>
          <w:noProof/>
          <w:sz w:val="24"/>
          <w:szCs w:val="24"/>
        </w:rPr>
        <w:t>(M. Costa &amp; Klein, 2006)</w:t>
      </w:r>
      <w:r w:rsidR="0049131D" w:rsidRPr="00BC0008">
        <w:rPr>
          <w:rFonts w:asciiTheme="majorBidi" w:hAnsiTheme="majorBidi" w:cstheme="majorBidi"/>
          <w:b/>
          <w:bCs/>
          <w:i/>
          <w:iCs/>
          <w:sz w:val="24"/>
          <w:szCs w:val="24"/>
        </w:rPr>
        <w:fldChar w:fldCharType="end"/>
      </w:r>
      <w:r w:rsidR="00D96B1C" w:rsidRPr="00B87EEC">
        <w:rPr>
          <w:rFonts w:asciiTheme="majorBidi" w:hAnsiTheme="majorBidi" w:cstheme="majorBidi"/>
          <w:b/>
          <w:bCs/>
          <w:i/>
          <w:iCs/>
          <w:sz w:val="24"/>
          <w:szCs w:val="24"/>
        </w:rPr>
        <w:t>.</w:t>
      </w:r>
      <w:r w:rsidR="00B87EEC" w:rsidRPr="00B87EEC">
        <w:rPr>
          <w:rFonts w:asciiTheme="majorBidi" w:hAnsiTheme="majorBidi" w:cstheme="majorBidi"/>
          <w:b/>
          <w:bCs/>
          <w:i/>
          <w:iCs/>
          <w:sz w:val="24"/>
          <w:szCs w:val="24"/>
        </w:rPr>
        <w:t xml:space="preserve"> </w:t>
      </w:r>
      <w:r w:rsidR="00D96B1C" w:rsidRPr="00B87EEC">
        <w:rPr>
          <w:rFonts w:asciiTheme="majorBidi" w:hAnsiTheme="majorBidi" w:cstheme="majorBidi"/>
          <w:sz w:val="24"/>
          <w:szCs w:val="24"/>
        </w:rPr>
        <w:t>The toxic effects of chromium (VI) are usually associated with intracellular reduction resulting in the generation of toxic Cr intermediates, which are considered as strong oxidants leading to ROS generated in excess causing injury to cellular proteins, lipids and DNA, leading to oxidative stress</w:t>
      </w:r>
      <w:r w:rsidR="000535AF" w:rsidRPr="00B87EEC">
        <w:rPr>
          <w:rFonts w:asciiTheme="majorBidi" w:hAnsiTheme="majorBidi" w:cstheme="majorBidi"/>
          <w:b/>
          <w:bCs/>
          <w:i/>
          <w:iCs/>
          <w:sz w:val="24"/>
          <w:szCs w:val="24"/>
        </w:rPr>
        <w:fldChar w:fldCharType="begin" w:fldLock="1"/>
      </w:r>
      <w:r w:rsidR="004C6E68">
        <w:rPr>
          <w:rFonts w:asciiTheme="majorBidi" w:hAnsiTheme="majorBidi" w:cstheme="majorBidi"/>
          <w:b/>
          <w:bCs/>
          <w:i/>
          <w:iCs/>
          <w:sz w:val="24"/>
          <w:szCs w:val="24"/>
        </w:rPr>
        <w:instrText>ADDIN CSL_CITATION {"citationItems":[{"id":"ITEM-1","itemData":{"DOI":"10.1016/S0891-5849(01)00724-9","ISBN":"9163110644","ISSN":"08915849","PMID":"11728801","abstract":"Reactive oxygen species (ROS) are known mediators of intracellular signaling cascades. Excessive production of ROS may, however, lead to oxidative stress, loss of cell function, and ultimately apoptosis or necrosis. A balance between oxidant and antioxidant intracellular systems is hence vital for cell function, regulation, and adaptation to diverse growth conditions. Thioredoxin reductase (TrxR) in conjunction with thioredoxin (Trx) is a ubiquitous oxidoreductase system with antioxidant and redox regulatory roles. In mammals, extracellular forms of Trx also have cytokine-like effects. Mammalian TrxR has a highly reactive active site selenocysteine residue resulting in a profound reductive capacity, reducing several substrates in addition to Trx. Due to the reactivity of TrxR, the enzyme is inhibited by many clinically used electrophilic compounds including nitrosoureas, aurothioglucose, platinum compounds, and retinoic acid derivatives. The properties of TrxR in combination with the functions of Trx position this system at the core of cellular thiol redox control and antioxidant defense. In this review, we focus on the reactions of the Trx system with ROS molecules and different cellular antioxidant enzymes. We summarize the TrxR-catalyzed regeneration of several antioxidant compounds, including ascorbic acid (vitamin C), selenium-containing substances, lipoic acid, and ubiquinone (Q10). We also discuss the general cellular effects of TrxR inhibition. Dinitrohalobenzenes constitute a unique class of immunostimulatory TrxR inhibitors and we consider the immunomodulatory effects of dinitrohalobenzene compounds in view of their reactions with the Trx system. © 2001 Elsevier Science Inc.","author":[{"dropping-particle":"","family":"Nordberg","given":"Jonas","non-dropping-particle":"","parse-names":false,"suffix":""},{"dropping-particle":"","family":"Arnér","given":"Elias S.J.","non-dropping-particle":"","parse-names":false,"suffix":""}],"container-title":"Free Radical Biology and Medicine","id":"ITEM-1","issue":"11","issued":{"date-parts":[["2001"]]},"page":"1287-1312","title":"Reactive oxygen species, antioxidants, and the mammalian thioredoxin system","type":"article-journal","volume":"31"},"uris":["http://www.mendeley.com/documents/?uuid=d842b8e9-56c2-4e7a-a320-e4b4e2c52669"]}],"mendeley":{"formattedCitation":"(Nordberg &amp; Arnér, 2001)","plainTextFormattedCitation":"(Nordberg &amp; Arnér, 2001)","previouslyFormattedCitation":"(Nordberg &amp; Arnér, 2001)"},"properties":{"noteIndex":0},"schema":"https://github.com/citation-style-language/schema/raw/master/csl-citation.json"}</w:instrText>
      </w:r>
      <w:r w:rsidR="000535AF" w:rsidRPr="00B87EEC">
        <w:rPr>
          <w:rFonts w:asciiTheme="majorBidi" w:hAnsiTheme="majorBidi" w:cstheme="majorBidi"/>
          <w:b/>
          <w:bCs/>
          <w:i/>
          <w:iCs/>
          <w:sz w:val="24"/>
          <w:szCs w:val="24"/>
        </w:rPr>
        <w:fldChar w:fldCharType="separate"/>
      </w:r>
      <w:r w:rsidR="000535AF" w:rsidRPr="00B87EEC">
        <w:rPr>
          <w:rFonts w:asciiTheme="majorBidi" w:hAnsiTheme="majorBidi" w:cstheme="majorBidi"/>
          <w:b/>
          <w:bCs/>
          <w:iCs/>
          <w:noProof/>
          <w:sz w:val="24"/>
          <w:szCs w:val="24"/>
        </w:rPr>
        <w:t>(Nordberg &amp; Arnér, 2001)</w:t>
      </w:r>
      <w:r w:rsidR="000535AF" w:rsidRPr="00B87EEC">
        <w:rPr>
          <w:rFonts w:asciiTheme="majorBidi" w:hAnsiTheme="majorBidi" w:cstheme="majorBidi"/>
          <w:b/>
          <w:bCs/>
          <w:i/>
          <w:iCs/>
          <w:sz w:val="24"/>
          <w:szCs w:val="24"/>
        </w:rPr>
        <w:fldChar w:fldCharType="end"/>
      </w:r>
      <w:r w:rsidR="00D96B1C" w:rsidRPr="00B87EEC">
        <w:rPr>
          <w:rFonts w:asciiTheme="majorBidi" w:hAnsiTheme="majorBidi" w:cstheme="majorBidi"/>
          <w:i/>
          <w:iCs/>
          <w:sz w:val="24"/>
          <w:szCs w:val="24"/>
        </w:rPr>
        <w:t>.</w:t>
      </w:r>
      <w:r w:rsidR="000535AF" w:rsidRPr="00B87EEC">
        <w:rPr>
          <w:rFonts w:asciiTheme="majorBidi" w:hAnsiTheme="majorBidi" w:cstheme="majorBidi"/>
          <w:i/>
          <w:iCs/>
          <w:sz w:val="24"/>
          <w:szCs w:val="24"/>
        </w:rPr>
        <w:t xml:space="preserve"> </w:t>
      </w:r>
      <w:r w:rsidR="000535AF" w:rsidRPr="00B87EEC">
        <w:rPr>
          <w:rFonts w:asciiTheme="majorBidi" w:hAnsiTheme="majorBidi" w:cstheme="majorBidi"/>
          <w:sz w:val="24"/>
          <w:szCs w:val="24"/>
        </w:rPr>
        <w:t xml:space="preserve">Cr (VI) compounds have toxic, genotoxic, mutagenic, and carcinogenic effects on humans, animals, plants, and as well as in microbes </w:t>
      </w:r>
      <w:r w:rsidR="000535AF" w:rsidRPr="00B87EEC">
        <w:rPr>
          <w:rFonts w:asciiTheme="majorBidi" w:hAnsiTheme="majorBidi" w:cstheme="majorBidi"/>
          <w:b/>
          <w:bCs/>
          <w:sz w:val="24"/>
          <w:szCs w:val="24"/>
        </w:rPr>
        <w:fldChar w:fldCharType="begin" w:fldLock="1"/>
      </w:r>
      <w:r w:rsidR="000535AF" w:rsidRPr="00B87EEC">
        <w:rPr>
          <w:rFonts w:asciiTheme="majorBidi" w:hAnsiTheme="majorBidi" w:cstheme="majorBidi"/>
          <w:b/>
          <w:bCs/>
          <w:sz w:val="24"/>
          <w:szCs w:val="24"/>
        </w:rPr>
        <w:instrText>ADDIN CSL_CITATION {"citationItems":[{"id":"ITEM-1","itemData":{"DOI":"10.1111/j.1462-2920.2004.00639.x","ISSN":"14622912","PMID":"15250887","abstract":"Chromate [Cr(VI)] is a serious environmental pollutant, which is amenable to bacterial bioremediation. NfsA, the major oxygen-insensitive nitroreductase of Escherichia coli, is a flavoprotein that is able to reduce chromate to less soluble and less toxic Cr(III). We show that this process involves single-electron transfer, giving rise to a flavin semiquinone form of NfsA and Cr(V) as intermediates, which redox cycle, generating more reactive oxygen species (ROS) than a divalent chromate reducer, YieF. However, NfsA generates less ROS than a known one-electron chromate reducer, lipoyl dehydrogenase (LpDH), suggesting that NfsA employs a mixture of uni- and di-valent electron transfer steps. The presence of YieF, ChrR (another chromate reductase we previously characterized), or NfsA in an LpDH-catalysed chromate reduction reaction decreased ROS generation by c. 65, 40, or 20%, respectively, suggesting that these enzymes can pre-empt ROS generation by LpDH. We previously showed that ChrR protects Pseudomonas putida against chromate toxicity; here we show that NfsA or YieF overproduction can also increase the tolerance of E. coli to this compound.","author":[{"dropping-particle":"","family":"Ackerley","given":"D. F.","non-dropping-particle":"","parse-names":false,"suffix":""},{"dropping-particle":"","family":"Gonzalez","given":"C. F.","non-dropping-particle":"","parse-names":false,"suffix":""},{"dropping-particle":"","family":"Keyhan","given":"M.","non-dropping-particle":"","parse-names":false,"suffix":""},{"dropping-particle":"","family":"Blake","given":"R.","non-dropping-particle":"","parse-names":false,"suffix":""},{"dropping-particle":"","family":"Matin","given":"A.","non-dropping-particle":"","parse-names":false,"suffix":""}],"container-title":"Environmental Microbiology","id":"ITEM-1","issue":"8","issued":{"date-parts":[["2004"]]},"page":"851-860","title":"Mechanism of chromate reduction by the Escherichia coli protein, NfsA, and the role of different chromate reductases in minimizing oxidative stress during chromate reduction","type":"article-journal","volume":"6"},"uris":["http://www.mendeley.com/documents/?uuid=28f189fe-89e3-4a12-b0d5-cfffcb2768f1"]},{"id":"ITEM-2","itemData":{"DOI":"10.1016/S0168-6496(03)00232-0","ISSN":"01686496","PMID":"19712345","abstract":"Microbial community structure, potential microbial activity and As resistance were affected by arsenic (As), chromium (Cr) and copper (Cu) contamination in soils of abandoned wood impregnating plants. Contaminated soils differed in the concentrations of soil acid-soluble and total water-soluble As, Cr and Cu, and in the concentration of bioavailable As analyzed with a bacterial sensor. Phospholipid fatty acid (PLFA) and 16S rRNA gene terminal restriction fragment length polymorphism (t-RFLP) profiles indicated that exposure to high metal contamination or subsequent effects of this exposure permanently changed microbial community structure. The total number of colony forming units (CFU) was not affected by metal contamination and the As(V)-resistant bacterial ratio to total heterotrophic plate counts was high (0.5-1.1) and relatively independent of the concentration of As. In contrast, the proportion of As(III)-resistant bacteria was dependent on the concentration of As in the soils and a significant positive relationship was found between the bioavailability of As and the proportion of As(III)-resistant bacteria. Dominant As-resistant isolates from contaminated soils were identified by their fatty acid methyl ester (FAME) profiles as Acinetobacter, Edwardsiella, Enterobacter, Pseudomonas, Salmonella and Serratia species. No differences were noted in glucose mineralization among contaminated and control soil samples within sites. Based on [14C]glucose mineralization the community was able to compensate for the reduced diversity. According to t-RFLP results, this was not due to a reversion towards the unexposed community, but mainly due to the appearance of new dominating species. This study, combining complementary culture-dependent and -independent methods, suggests that microbes are able to respond to soil metal contamination and maintain metabolic activity apparently through changes in microbial community structure and selection for resistance. © 2003 Federation of European Microbiological Societies. Published by Elsevier B.V. All rights reserved.","author":[{"dropping-particle":"","family":"Turpeinen","given":"Riina","non-dropping-particle":"","parse-names":false,"suffix":""},{"dropping-particle":"","family":"Kairesalo","given":"Timo","non-dropping-particle":"","parse-names":false,"suffix":""},{"dropping-particle":"","family":"Häggblom","given":"Max M.","non-dropping-particle":"","parse-names":false,"suffix":""}],"container-title":"FEMS Microbiology Ecology","id":"ITEM-2","issue":"1","issued":{"date-parts":[["2004"]]},"page":"39-50","title":"Microbial community structure and activity in arsenic-, chromium- and copper-contaminated soils","type":"article-journal","volume":"47"},"uris":["http://www.mendeley.com/documents/?uuid=0804a8ae-6042-4c3e-bcc0-8c85c056f2bd"]}],"mendeley":{"formattedCitation":"(Ackerley, Gonzalez, Keyhan, Blake, &amp; Matin, 2004; Turpeinen, Kairesalo, &amp; Häggblom, 2004)","manualFormatting":"(Ackerley et al., 2004; Turpeinen et al., 2004)","plainTextFormattedCitation":"(Ackerley, Gonzalez, Keyhan, Blake, &amp; Matin, 2004; Turpeinen, Kairesalo, &amp; Häggblom, 2004)","previouslyFormattedCitation":"(Ackerley, Gonzalez, Keyhan, Blake, &amp; Matin, 2004; Turpeinen, Kairesalo, &amp; Häggblom, 2004)"},"properties":{"noteIndex":0},"schema":"https://github.com/citation-style-language/schema/raw/master/csl-citation.json"}</w:instrText>
      </w:r>
      <w:r w:rsidR="000535AF" w:rsidRPr="00B87EEC">
        <w:rPr>
          <w:rFonts w:asciiTheme="majorBidi" w:hAnsiTheme="majorBidi" w:cstheme="majorBidi"/>
          <w:b/>
          <w:bCs/>
          <w:sz w:val="24"/>
          <w:szCs w:val="24"/>
        </w:rPr>
        <w:fldChar w:fldCharType="separate"/>
      </w:r>
      <w:r w:rsidR="000535AF" w:rsidRPr="00B87EEC">
        <w:rPr>
          <w:rFonts w:asciiTheme="majorBidi" w:hAnsiTheme="majorBidi" w:cstheme="majorBidi"/>
          <w:b/>
          <w:bCs/>
          <w:noProof/>
          <w:sz w:val="24"/>
          <w:szCs w:val="24"/>
        </w:rPr>
        <w:t xml:space="preserve">(Ackerley </w:t>
      </w:r>
      <w:r w:rsidR="000535AF" w:rsidRPr="00B87EEC">
        <w:rPr>
          <w:rFonts w:asciiTheme="majorBidi" w:hAnsiTheme="majorBidi" w:cstheme="majorBidi"/>
          <w:b/>
          <w:bCs/>
          <w:i/>
          <w:iCs/>
          <w:noProof/>
          <w:sz w:val="24"/>
          <w:szCs w:val="24"/>
        </w:rPr>
        <w:t>et al</w:t>
      </w:r>
      <w:r w:rsidR="000535AF" w:rsidRPr="00B87EEC">
        <w:rPr>
          <w:rFonts w:asciiTheme="majorBidi" w:hAnsiTheme="majorBidi" w:cstheme="majorBidi"/>
          <w:b/>
          <w:bCs/>
          <w:noProof/>
          <w:sz w:val="24"/>
          <w:szCs w:val="24"/>
        </w:rPr>
        <w:t xml:space="preserve">., 2004; Turpeinen </w:t>
      </w:r>
      <w:r w:rsidR="000535AF" w:rsidRPr="00B87EEC">
        <w:rPr>
          <w:rFonts w:asciiTheme="majorBidi" w:hAnsiTheme="majorBidi" w:cstheme="majorBidi"/>
          <w:b/>
          <w:bCs/>
          <w:i/>
          <w:iCs/>
          <w:noProof/>
          <w:sz w:val="24"/>
          <w:szCs w:val="24"/>
        </w:rPr>
        <w:t>et al</w:t>
      </w:r>
      <w:r w:rsidR="000535AF" w:rsidRPr="00B87EEC">
        <w:rPr>
          <w:rFonts w:asciiTheme="majorBidi" w:hAnsiTheme="majorBidi" w:cstheme="majorBidi"/>
          <w:b/>
          <w:bCs/>
          <w:noProof/>
          <w:sz w:val="24"/>
          <w:szCs w:val="24"/>
        </w:rPr>
        <w:t>., 2004)</w:t>
      </w:r>
      <w:r w:rsidR="000535AF" w:rsidRPr="00B87EEC">
        <w:rPr>
          <w:rFonts w:asciiTheme="majorBidi" w:hAnsiTheme="majorBidi" w:cstheme="majorBidi"/>
          <w:b/>
          <w:bCs/>
          <w:sz w:val="24"/>
          <w:szCs w:val="24"/>
        </w:rPr>
        <w:fldChar w:fldCharType="end"/>
      </w:r>
    </w:p>
    <w:p w14:paraId="3EFF6FD0" w14:textId="33198B4E" w:rsidR="007271D1" w:rsidRDefault="0049131D" w:rsidP="00FA6001">
      <w:pPr>
        <w:spacing w:line="360" w:lineRule="auto"/>
        <w:ind w:left="-450"/>
        <w:jc w:val="both"/>
        <w:rPr>
          <w:rFonts w:asciiTheme="majorBidi" w:hAnsiTheme="majorBidi" w:cstheme="majorBidi"/>
          <w:sz w:val="24"/>
          <w:szCs w:val="24"/>
          <w:lang w:bidi="ar-EG"/>
        </w:rPr>
      </w:pPr>
      <w:r>
        <w:rPr>
          <w:rFonts w:asciiTheme="majorBidi" w:hAnsiTheme="majorBidi" w:cstheme="majorBidi"/>
          <w:sz w:val="24"/>
          <w:szCs w:val="24"/>
        </w:rPr>
        <w:t>H</w:t>
      </w:r>
      <w:r w:rsidR="007271D1" w:rsidRPr="00B87EEC">
        <w:rPr>
          <w:rFonts w:asciiTheme="majorBidi" w:hAnsiTheme="majorBidi" w:cstheme="majorBidi"/>
          <w:sz w:val="24"/>
          <w:szCs w:val="24"/>
        </w:rPr>
        <w:t xml:space="preserve">umans and animals maybe co-exposed to fipronil and chromium </w:t>
      </w:r>
      <w:r w:rsidR="007271D1" w:rsidRPr="00B87EEC">
        <w:rPr>
          <w:rFonts w:asciiTheme="majorBidi" w:hAnsiTheme="majorBidi" w:cstheme="majorBidi"/>
          <w:sz w:val="24"/>
          <w:szCs w:val="24"/>
          <w:lang w:bidi="ar-EG"/>
        </w:rPr>
        <w:t>in the environment potential interactions between fipronil and chromium have been rarely investigated.</w:t>
      </w:r>
      <w:r>
        <w:rPr>
          <w:rFonts w:asciiTheme="majorBidi" w:hAnsiTheme="majorBidi" w:cstheme="majorBidi"/>
          <w:sz w:val="24"/>
          <w:szCs w:val="24"/>
          <w:lang w:bidi="ar-EG"/>
        </w:rPr>
        <w:t xml:space="preserve"> </w:t>
      </w:r>
      <w:r w:rsidR="007271D1" w:rsidRPr="00B87EEC">
        <w:rPr>
          <w:rFonts w:asciiTheme="majorBidi" w:hAnsiTheme="majorBidi" w:cstheme="majorBidi"/>
          <w:sz w:val="24"/>
          <w:szCs w:val="24"/>
        </w:rPr>
        <w:t xml:space="preserve">Hence, </w:t>
      </w:r>
      <w:r w:rsidR="007271D1" w:rsidRPr="00B87EEC">
        <w:rPr>
          <w:rFonts w:asciiTheme="majorBidi" w:hAnsiTheme="majorBidi" w:cstheme="majorBidi"/>
          <w:sz w:val="24"/>
          <w:szCs w:val="24"/>
          <w:lang w:bidi="ar-EG"/>
        </w:rPr>
        <w:t>the goal of the present research work was to study Hematological aspect, an</w:t>
      </w:r>
      <w:r w:rsidR="00B87EEC" w:rsidRPr="00B87EEC">
        <w:rPr>
          <w:rFonts w:asciiTheme="majorBidi" w:hAnsiTheme="majorBidi" w:cstheme="majorBidi"/>
          <w:sz w:val="24"/>
          <w:szCs w:val="24"/>
          <w:lang w:bidi="ar-EG"/>
        </w:rPr>
        <w:t xml:space="preserve">d toxicological effect of </w:t>
      </w:r>
      <w:bookmarkStart w:id="0" w:name="_Hlk42117815"/>
      <w:r w:rsidR="00B87EEC" w:rsidRPr="00B87EEC">
        <w:rPr>
          <w:rFonts w:asciiTheme="majorBidi" w:hAnsiTheme="majorBidi" w:cstheme="majorBidi"/>
          <w:sz w:val="24"/>
          <w:szCs w:val="24"/>
          <w:lang w:bidi="ar-EG"/>
        </w:rPr>
        <w:t xml:space="preserve">Fipronil (FPN) and/or Potassium dichromate (K2Cr2O7) </w:t>
      </w:r>
      <w:bookmarkEnd w:id="0"/>
      <w:r w:rsidR="00B87EEC" w:rsidRPr="00B87EEC">
        <w:rPr>
          <w:rFonts w:asciiTheme="majorBidi" w:hAnsiTheme="majorBidi" w:cstheme="majorBidi"/>
          <w:sz w:val="24"/>
          <w:szCs w:val="24"/>
          <w:lang w:bidi="ar-EG"/>
        </w:rPr>
        <w:t>treatment on liver of male albino rat.</w:t>
      </w:r>
    </w:p>
    <w:p w14:paraId="360DC89D" w14:textId="77777777" w:rsidR="0049131D" w:rsidRPr="00B87EEC" w:rsidRDefault="0049131D" w:rsidP="00FA6001">
      <w:pPr>
        <w:spacing w:line="360" w:lineRule="auto"/>
        <w:ind w:left="-450"/>
        <w:jc w:val="both"/>
        <w:rPr>
          <w:rFonts w:asciiTheme="majorBidi" w:hAnsiTheme="majorBidi" w:cstheme="majorBidi"/>
          <w:sz w:val="24"/>
          <w:szCs w:val="24"/>
          <w:lang w:bidi="ar-EG"/>
        </w:rPr>
      </w:pPr>
    </w:p>
    <w:p w14:paraId="15FA2AFD" w14:textId="77777777" w:rsidR="00B87EEC" w:rsidRPr="00B87EEC" w:rsidRDefault="00B87EEC" w:rsidP="00FA6001">
      <w:pPr>
        <w:spacing w:line="360" w:lineRule="auto"/>
        <w:ind w:left="-450"/>
        <w:jc w:val="both"/>
        <w:rPr>
          <w:rFonts w:asciiTheme="majorBidi" w:hAnsiTheme="majorBidi" w:cstheme="majorBidi"/>
          <w:b/>
          <w:bCs/>
          <w:sz w:val="24"/>
          <w:szCs w:val="24"/>
        </w:rPr>
      </w:pPr>
      <w:r w:rsidRPr="00B87EEC">
        <w:rPr>
          <w:rFonts w:asciiTheme="majorBidi" w:hAnsiTheme="majorBidi" w:cstheme="majorBidi"/>
          <w:b/>
          <w:bCs/>
          <w:sz w:val="24"/>
          <w:szCs w:val="24"/>
        </w:rPr>
        <w:lastRenderedPageBreak/>
        <w:t>2. Materials and methods</w:t>
      </w:r>
      <w:r w:rsidRPr="00B87EEC">
        <w:rPr>
          <w:rFonts w:asciiTheme="majorBidi" w:hAnsiTheme="majorBidi" w:cstheme="majorBidi" w:hint="cs"/>
          <w:b/>
          <w:bCs/>
          <w:sz w:val="24"/>
          <w:szCs w:val="24"/>
          <w:rtl/>
        </w:rPr>
        <w:t>:</w:t>
      </w:r>
    </w:p>
    <w:p w14:paraId="394FEE4C" w14:textId="77777777" w:rsidR="00B87EEC" w:rsidRPr="00B87EEC" w:rsidRDefault="00B87EEC" w:rsidP="00FA6001">
      <w:pPr>
        <w:spacing w:line="360" w:lineRule="auto"/>
        <w:ind w:left="-450"/>
        <w:jc w:val="both"/>
        <w:rPr>
          <w:rFonts w:asciiTheme="majorBidi" w:hAnsiTheme="majorBidi" w:cstheme="majorBidi"/>
          <w:b/>
          <w:bCs/>
          <w:sz w:val="24"/>
          <w:szCs w:val="24"/>
        </w:rPr>
      </w:pPr>
      <w:r w:rsidRPr="00B87EEC">
        <w:rPr>
          <w:rFonts w:asciiTheme="majorBidi" w:hAnsiTheme="majorBidi" w:cstheme="majorBidi"/>
          <w:b/>
          <w:bCs/>
          <w:sz w:val="24"/>
          <w:szCs w:val="24"/>
        </w:rPr>
        <w:t>2.1. Chemicals</w:t>
      </w:r>
      <w:r w:rsidRPr="00B87EEC">
        <w:rPr>
          <w:rFonts w:asciiTheme="majorBidi" w:hAnsiTheme="majorBidi" w:cstheme="majorBidi" w:hint="cs"/>
          <w:b/>
          <w:bCs/>
          <w:sz w:val="24"/>
          <w:szCs w:val="24"/>
          <w:rtl/>
        </w:rPr>
        <w:t>:</w:t>
      </w:r>
    </w:p>
    <w:p w14:paraId="0461FEFD" w14:textId="39E56046" w:rsidR="0049131D" w:rsidRDefault="00B87EEC" w:rsidP="00AD48B6">
      <w:pPr>
        <w:spacing w:before="240" w:after="0" w:line="360" w:lineRule="auto"/>
        <w:ind w:left="-450"/>
        <w:jc w:val="both"/>
        <w:rPr>
          <w:rFonts w:asciiTheme="majorBidi" w:hAnsiTheme="majorBidi" w:cstheme="majorBidi"/>
          <w:b/>
          <w:bCs/>
          <w:i/>
          <w:iCs/>
          <w:sz w:val="24"/>
          <w:szCs w:val="24"/>
        </w:rPr>
      </w:pPr>
      <w:r w:rsidRPr="004C6E68">
        <w:rPr>
          <w:rFonts w:asciiTheme="majorBidi" w:hAnsiTheme="majorBidi" w:cstheme="majorBidi"/>
          <w:sz w:val="24"/>
          <w:szCs w:val="24"/>
        </w:rPr>
        <w:t>Fipronil, (FPN</w:t>
      </w:r>
      <w:r w:rsidRPr="004C6E68">
        <w:rPr>
          <w:rFonts w:asciiTheme="majorBidi" w:hAnsiTheme="majorBidi" w:cstheme="majorBidi" w:hint="cs"/>
          <w:sz w:val="24"/>
          <w:szCs w:val="24"/>
          <w:rtl/>
        </w:rPr>
        <w:t xml:space="preserve"> (</w:t>
      </w:r>
      <w:r w:rsidRPr="004C6E68">
        <w:rPr>
          <w:rFonts w:asciiTheme="majorBidi" w:hAnsiTheme="majorBidi" w:cstheme="majorBidi"/>
          <w:sz w:val="24"/>
          <w:szCs w:val="24"/>
        </w:rPr>
        <w:t>(BARS®, 50mg/mL): was purchased from AVZ, Ltd. (Moscow, Russia) as a commercial product formulated for veterinary use. Potassium Dichromate (K2Cr2O7)</w:t>
      </w:r>
      <w:r w:rsidRPr="004C6E68">
        <w:rPr>
          <w:rFonts w:asciiTheme="majorBidi" w:hAnsiTheme="majorBidi" w:cstheme="majorBidi" w:hint="cs"/>
          <w:sz w:val="24"/>
          <w:szCs w:val="24"/>
          <w:rtl/>
        </w:rPr>
        <w:t>:</w:t>
      </w:r>
      <w:r w:rsidRPr="004C6E68">
        <w:rPr>
          <w:rFonts w:asciiTheme="majorBidi" w:hAnsiTheme="majorBidi" w:cstheme="majorBidi"/>
          <w:sz w:val="24"/>
          <w:szCs w:val="24"/>
          <w:rtl/>
        </w:rPr>
        <w:t xml:space="preserve"> </w:t>
      </w:r>
      <w:r w:rsidRPr="004C6E68">
        <w:rPr>
          <w:rFonts w:asciiTheme="majorBidi" w:hAnsiTheme="majorBidi" w:cstheme="majorBidi"/>
          <w:sz w:val="24"/>
          <w:szCs w:val="24"/>
        </w:rPr>
        <w:t xml:space="preserve">was supplied by El-Nasr pharmaceutical chemicals, Egypt. </w:t>
      </w:r>
    </w:p>
    <w:p w14:paraId="2E2D48E3" w14:textId="4851C792" w:rsidR="00B87EEC" w:rsidRPr="0049131D" w:rsidRDefault="00B87EEC" w:rsidP="00FA6001">
      <w:pPr>
        <w:spacing w:before="240" w:after="0" w:line="360" w:lineRule="auto"/>
        <w:ind w:left="-450"/>
        <w:jc w:val="both"/>
        <w:rPr>
          <w:rFonts w:asciiTheme="majorBidi" w:hAnsiTheme="majorBidi" w:cstheme="majorBidi"/>
          <w:b/>
          <w:bCs/>
          <w:i/>
          <w:iCs/>
          <w:sz w:val="24"/>
          <w:szCs w:val="24"/>
        </w:rPr>
      </w:pPr>
      <w:r w:rsidRPr="00B87EEC">
        <w:rPr>
          <w:rFonts w:asciiTheme="majorBidi" w:hAnsiTheme="majorBidi" w:cstheme="majorBidi"/>
          <w:b/>
          <w:bCs/>
          <w:sz w:val="24"/>
          <w:szCs w:val="24"/>
        </w:rPr>
        <w:t>2.2. Experimental animal</w:t>
      </w:r>
      <w:r w:rsidRPr="00B87EEC">
        <w:rPr>
          <w:rFonts w:asciiTheme="majorBidi" w:hAnsiTheme="majorBidi" w:cstheme="majorBidi" w:hint="cs"/>
          <w:b/>
          <w:bCs/>
          <w:sz w:val="24"/>
          <w:szCs w:val="24"/>
          <w:rtl/>
        </w:rPr>
        <w:t>:</w:t>
      </w:r>
    </w:p>
    <w:p w14:paraId="1A51EDF4" w14:textId="7F447E7C" w:rsidR="00B87EEC" w:rsidRPr="00B87EEC" w:rsidRDefault="00B87EEC" w:rsidP="00FA6001">
      <w:pPr>
        <w:spacing w:line="360" w:lineRule="auto"/>
        <w:ind w:left="-450"/>
        <w:jc w:val="both"/>
        <w:rPr>
          <w:rFonts w:asciiTheme="majorBidi" w:hAnsiTheme="majorBidi" w:cstheme="majorBidi"/>
          <w:sz w:val="24"/>
          <w:szCs w:val="24"/>
        </w:rPr>
      </w:pPr>
      <w:r w:rsidRPr="00B87EEC">
        <w:rPr>
          <w:rFonts w:asciiTheme="majorBidi" w:hAnsiTheme="majorBidi" w:cstheme="majorBidi"/>
          <w:sz w:val="24"/>
          <w:szCs w:val="24"/>
        </w:rPr>
        <w:t>A total of 50 male Wister Albino rats with an average body weight of (160 -200 g) were supplied by the Center of Laboratory Animal (Faculty of Veterinary Medicine, Benha University, Egypt).Then, They were kept in a well-ventilated place, and the temperature 25 ± 3 °C and relative humidity were ~ 60%. They were maintained under the 12:12 h light/dark cycle with free access to water and a normal pellet diet over the experimental period. Rats were acclimatized to the new laboratory conditions for 14 days before any treatment.</w:t>
      </w:r>
    </w:p>
    <w:p w14:paraId="54227A0A" w14:textId="77777777" w:rsidR="00B87EEC" w:rsidRPr="00B87EEC" w:rsidRDefault="00B87EEC" w:rsidP="00FA6001">
      <w:pPr>
        <w:spacing w:line="360" w:lineRule="auto"/>
        <w:ind w:left="-450"/>
        <w:jc w:val="both"/>
        <w:rPr>
          <w:rFonts w:asciiTheme="majorBidi" w:hAnsiTheme="majorBidi" w:cstheme="majorBidi"/>
          <w:b/>
          <w:bCs/>
          <w:sz w:val="24"/>
          <w:szCs w:val="24"/>
        </w:rPr>
      </w:pPr>
      <w:r w:rsidRPr="00B87EEC">
        <w:rPr>
          <w:rFonts w:asciiTheme="majorBidi" w:hAnsiTheme="majorBidi" w:cstheme="majorBidi"/>
          <w:b/>
          <w:bCs/>
          <w:sz w:val="24"/>
          <w:szCs w:val="24"/>
        </w:rPr>
        <w:t>2.3. Experimental protocol:</w:t>
      </w:r>
    </w:p>
    <w:p w14:paraId="191C793A" w14:textId="461CD486" w:rsidR="00B87EEC" w:rsidRPr="00B87EEC" w:rsidRDefault="00B87EEC" w:rsidP="00554EC0">
      <w:pPr>
        <w:spacing w:line="360" w:lineRule="auto"/>
        <w:ind w:left="-450"/>
        <w:jc w:val="both"/>
        <w:rPr>
          <w:rFonts w:asciiTheme="majorBidi" w:hAnsiTheme="majorBidi" w:cstheme="majorBidi"/>
          <w:sz w:val="24"/>
          <w:szCs w:val="24"/>
        </w:rPr>
      </w:pPr>
      <w:r w:rsidRPr="00B87EEC">
        <w:rPr>
          <w:rFonts w:asciiTheme="majorBidi" w:hAnsiTheme="majorBidi" w:cstheme="majorBidi"/>
          <w:sz w:val="24"/>
          <w:szCs w:val="24"/>
        </w:rPr>
        <w:t>In the present study male albino rats were randomly allocated into</w:t>
      </w:r>
      <w:r w:rsidRPr="00B87EEC">
        <w:rPr>
          <w:rFonts w:asciiTheme="majorBidi" w:hAnsiTheme="majorBidi" w:cstheme="majorBidi"/>
          <w:sz w:val="24"/>
          <w:szCs w:val="24"/>
          <w:rtl/>
        </w:rPr>
        <w:t xml:space="preserve"> </w:t>
      </w:r>
      <w:r w:rsidRPr="00B87EEC">
        <w:rPr>
          <w:rFonts w:asciiTheme="majorBidi" w:hAnsiTheme="majorBidi" w:cstheme="majorBidi"/>
          <w:sz w:val="24"/>
          <w:szCs w:val="24"/>
        </w:rPr>
        <w:t xml:space="preserve">5 equal experimental groups (10 rats each) and treated for 28 days. Group 1: controls received </w:t>
      </w:r>
      <w:bookmarkStart w:id="1" w:name="_Hlk40898290"/>
      <w:r w:rsidRPr="00B87EEC">
        <w:rPr>
          <w:rFonts w:asciiTheme="majorBidi" w:hAnsiTheme="majorBidi" w:cstheme="majorBidi"/>
          <w:sz w:val="24"/>
          <w:szCs w:val="24"/>
        </w:rPr>
        <w:t>Filtered water orally by stomach tube</w:t>
      </w:r>
      <w:r w:rsidR="004C6E68">
        <w:rPr>
          <w:rFonts w:asciiTheme="majorBidi" w:hAnsiTheme="majorBidi" w:cstheme="majorBidi"/>
          <w:sz w:val="24"/>
          <w:szCs w:val="24"/>
        </w:rPr>
        <w:t xml:space="preserve"> </w:t>
      </w:r>
      <w:proofErr w:type="spellStart"/>
      <w:r w:rsidR="004C6E68">
        <w:rPr>
          <w:rFonts w:asciiTheme="majorBidi" w:hAnsiTheme="majorBidi" w:cstheme="majorBidi"/>
          <w:sz w:val="24"/>
          <w:szCs w:val="24"/>
        </w:rPr>
        <w:t>dailly</w:t>
      </w:r>
      <w:proofErr w:type="spellEnd"/>
      <w:r w:rsidRPr="00B87EEC">
        <w:rPr>
          <w:rFonts w:asciiTheme="majorBidi" w:hAnsiTheme="majorBidi" w:cstheme="majorBidi"/>
          <w:sz w:val="24"/>
          <w:szCs w:val="24"/>
        </w:rPr>
        <w:t>.</w:t>
      </w:r>
      <w:bookmarkEnd w:id="1"/>
      <w:r w:rsidRPr="00B87EEC">
        <w:rPr>
          <w:rFonts w:asciiTheme="majorBidi" w:hAnsiTheme="majorBidi" w:cstheme="majorBidi"/>
          <w:sz w:val="24"/>
          <w:szCs w:val="24"/>
        </w:rPr>
        <w:t xml:space="preserve"> Group 2: control received corn oil orally by stomach tube</w:t>
      </w:r>
      <w:r w:rsidR="004C6E68">
        <w:rPr>
          <w:rFonts w:asciiTheme="majorBidi" w:hAnsiTheme="majorBidi" w:cstheme="majorBidi"/>
          <w:sz w:val="24"/>
          <w:szCs w:val="24"/>
        </w:rPr>
        <w:t xml:space="preserve"> </w:t>
      </w:r>
      <w:bookmarkStart w:id="2" w:name="_Hlk42112515"/>
      <w:r w:rsidR="004C6E68">
        <w:rPr>
          <w:rFonts w:asciiTheme="majorBidi" w:hAnsiTheme="majorBidi" w:cstheme="majorBidi"/>
          <w:sz w:val="24"/>
          <w:szCs w:val="24"/>
        </w:rPr>
        <w:t>day after day</w:t>
      </w:r>
      <w:bookmarkEnd w:id="2"/>
      <w:r w:rsidRPr="00B87EEC">
        <w:rPr>
          <w:rFonts w:asciiTheme="majorBidi" w:hAnsiTheme="majorBidi" w:cstheme="majorBidi"/>
          <w:sz w:val="24"/>
          <w:szCs w:val="24"/>
        </w:rPr>
        <w:t>. Group 3: received FPN at a dose of 10 mg/kg b. wt. orally by stomach tube</w:t>
      </w:r>
      <w:r w:rsidR="004C6E68" w:rsidRPr="004C6E68">
        <w:t xml:space="preserve"> </w:t>
      </w:r>
      <w:r w:rsidR="004C6E68" w:rsidRPr="004C6E68">
        <w:rPr>
          <w:rFonts w:asciiTheme="majorBidi" w:hAnsiTheme="majorBidi" w:cstheme="majorBidi"/>
          <w:sz w:val="24"/>
          <w:szCs w:val="24"/>
        </w:rPr>
        <w:t xml:space="preserve">day after </w:t>
      </w:r>
      <w:r w:rsidR="0049131D" w:rsidRPr="004C6E68">
        <w:rPr>
          <w:rFonts w:asciiTheme="majorBidi" w:hAnsiTheme="majorBidi" w:cstheme="majorBidi"/>
          <w:sz w:val="24"/>
          <w:szCs w:val="24"/>
        </w:rPr>
        <w:t>day</w:t>
      </w:r>
      <w:r w:rsidR="0049131D">
        <w:rPr>
          <w:rFonts w:asciiTheme="majorBidi" w:hAnsiTheme="majorBidi" w:cstheme="majorBidi"/>
          <w:sz w:val="24"/>
          <w:szCs w:val="24"/>
        </w:rPr>
        <w:t>.</w:t>
      </w:r>
      <w:r w:rsidRPr="00B87EEC">
        <w:rPr>
          <w:rFonts w:asciiTheme="majorBidi" w:hAnsiTheme="majorBidi" w:cstheme="majorBidi"/>
          <w:sz w:val="24"/>
          <w:szCs w:val="24"/>
        </w:rPr>
        <w:t xml:space="preserve"> Group 4: received K2Cr2O7 via drinking water (700 ppm equivalent to 67 mg/kg </w:t>
      </w:r>
      <w:proofErr w:type="spellStart"/>
      <w:r w:rsidRPr="00B87EEC">
        <w:rPr>
          <w:rFonts w:asciiTheme="majorBidi" w:hAnsiTheme="majorBidi" w:cstheme="majorBidi"/>
          <w:sz w:val="24"/>
          <w:szCs w:val="24"/>
        </w:rPr>
        <w:t>b.wt</w:t>
      </w:r>
      <w:proofErr w:type="spellEnd"/>
      <w:r w:rsidRPr="00B87EEC">
        <w:rPr>
          <w:rFonts w:asciiTheme="majorBidi" w:hAnsiTheme="majorBidi" w:cstheme="majorBidi"/>
          <w:sz w:val="24"/>
          <w:szCs w:val="24"/>
        </w:rPr>
        <w:t>)</w:t>
      </w:r>
      <w:r w:rsidR="004C6E68">
        <w:rPr>
          <w:rFonts w:asciiTheme="majorBidi" w:hAnsiTheme="majorBidi" w:cstheme="majorBidi"/>
          <w:sz w:val="24"/>
          <w:szCs w:val="24"/>
        </w:rPr>
        <w:t xml:space="preserve"> daily</w:t>
      </w:r>
      <w:r w:rsidRPr="00B87EEC">
        <w:rPr>
          <w:rFonts w:asciiTheme="majorBidi" w:hAnsiTheme="majorBidi" w:cstheme="majorBidi"/>
          <w:sz w:val="24"/>
          <w:szCs w:val="24"/>
        </w:rPr>
        <w:t xml:space="preserve"> </w:t>
      </w:r>
      <w:r w:rsidRPr="00B87EEC">
        <w:rPr>
          <w:rFonts w:asciiTheme="majorBidi" w:hAnsiTheme="majorBidi" w:cstheme="majorBidi"/>
          <w:i/>
          <w:iCs/>
          <w:sz w:val="24"/>
          <w:szCs w:val="24"/>
        </w:rPr>
        <w:t>.</w:t>
      </w:r>
      <w:r w:rsidRPr="00B87EEC">
        <w:rPr>
          <w:rFonts w:asciiTheme="majorBidi" w:hAnsiTheme="majorBidi" w:cstheme="majorBidi"/>
          <w:sz w:val="24"/>
          <w:szCs w:val="24"/>
        </w:rPr>
        <w:t xml:space="preserve">Group 5: received FPN (10 mg/kg b. </w:t>
      </w:r>
      <w:proofErr w:type="spellStart"/>
      <w:r w:rsidRPr="00B87EEC">
        <w:rPr>
          <w:rFonts w:asciiTheme="majorBidi" w:hAnsiTheme="majorBidi" w:cstheme="majorBidi"/>
          <w:sz w:val="24"/>
          <w:szCs w:val="24"/>
        </w:rPr>
        <w:t>wt</w:t>
      </w:r>
      <w:proofErr w:type="spellEnd"/>
      <w:r w:rsidRPr="00B87EEC">
        <w:rPr>
          <w:rFonts w:asciiTheme="majorBidi" w:hAnsiTheme="majorBidi" w:cstheme="majorBidi"/>
          <w:sz w:val="24"/>
          <w:szCs w:val="24"/>
        </w:rPr>
        <w:t xml:space="preserve"> orally day after day by stomach tube) </w:t>
      </w:r>
      <w:r w:rsidR="004C6E68">
        <w:rPr>
          <w:rFonts w:asciiTheme="majorBidi" w:hAnsiTheme="majorBidi" w:cstheme="majorBidi"/>
          <w:sz w:val="24"/>
          <w:szCs w:val="24"/>
        </w:rPr>
        <w:t>day after day</w:t>
      </w:r>
      <w:r w:rsidRPr="00B87EEC">
        <w:rPr>
          <w:rFonts w:asciiTheme="majorBidi" w:hAnsiTheme="majorBidi" w:cstheme="majorBidi"/>
          <w:sz w:val="24"/>
          <w:szCs w:val="24"/>
        </w:rPr>
        <w:t xml:space="preserve">+ K2Cr2O7 via drinking water (700 ppm equivalent to 67 mg/kg </w:t>
      </w:r>
      <w:proofErr w:type="spellStart"/>
      <w:r w:rsidRPr="00B87EEC">
        <w:rPr>
          <w:rFonts w:asciiTheme="majorBidi" w:hAnsiTheme="majorBidi" w:cstheme="majorBidi"/>
          <w:sz w:val="24"/>
          <w:szCs w:val="24"/>
        </w:rPr>
        <w:t>b.wt</w:t>
      </w:r>
      <w:proofErr w:type="spellEnd"/>
      <w:r w:rsidRPr="00B87EEC">
        <w:rPr>
          <w:rFonts w:asciiTheme="majorBidi" w:hAnsiTheme="majorBidi" w:cstheme="majorBidi"/>
          <w:sz w:val="24"/>
          <w:szCs w:val="24"/>
        </w:rPr>
        <w:t>)</w:t>
      </w:r>
      <w:r w:rsidR="004C6E68">
        <w:rPr>
          <w:rFonts w:asciiTheme="majorBidi" w:hAnsiTheme="majorBidi" w:cstheme="majorBidi"/>
          <w:sz w:val="24"/>
          <w:szCs w:val="24"/>
        </w:rPr>
        <w:t xml:space="preserve"> daily</w:t>
      </w:r>
      <w:r w:rsidRPr="00B87EEC">
        <w:rPr>
          <w:rFonts w:asciiTheme="majorBidi" w:hAnsiTheme="majorBidi" w:cstheme="majorBidi"/>
          <w:sz w:val="24"/>
          <w:szCs w:val="24"/>
        </w:rPr>
        <w:t xml:space="preserve"> for 28days.</w:t>
      </w:r>
    </w:p>
    <w:p w14:paraId="74636B73" w14:textId="25A875EE" w:rsidR="00B87EEC" w:rsidRPr="00B87EEC" w:rsidRDefault="00B87EEC" w:rsidP="00FA6001">
      <w:pPr>
        <w:spacing w:line="360" w:lineRule="auto"/>
        <w:ind w:left="-450" w:right="117"/>
        <w:jc w:val="both"/>
        <w:rPr>
          <w:rFonts w:asciiTheme="majorBidi" w:hAnsiTheme="majorBidi" w:cstheme="majorBidi"/>
          <w:b/>
          <w:bCs/>
          <w:color w:val="000000" w:themeColor="text1"/>
          <w:sz w:val="24"/>
          <w:szCs w:val="24"/>
        </w:rPr>
      </w:pPr>
      <w:r w:rsidRPr="00B87EEC">
        <w:rPr>
          <w:rFonts w:asciiTheme="majorBidi" w:hAnsiTheme="majorBidi" w:cstheme="majorBidi"/>
          <w:b/>
          <w:bCs/>
          <w:color w:val="000000" w:themeColor="text1"/>
          <w:sz w:val="24"/>
          <w:szCs w:val="24"/>
        </w:rPr>
        <w:t>2.4. Sampling:</w:t>
      </w:r>
    </w:p>
    <w:p w14:paraId="251E22A0" w14:textId="06643E14" w:rsidR="00B87EEC" w:rsidRDefault="00B87EEC" w:rsidP="00FA6001">
      <w:pPr>
        <w:spacing w:before="240" w:line="360" w:lineRule="auto"/>
        <w:ind w:left="-450"/>
        <w:jc w:val="both"/>
        <w:rPr>
          <w:rFonts w:asciiTheme="majorBidi" w:hAnsiTheme="majorBidi" w:cstheme="majorBidi"/>
          <w:sz w:val="24"/>
          <w:szCs w:val="24"/>
        </w:rPr>
      </w:pPr>
      <w:r w:rsidRPr="00B87EEC">
        <w:rPr>
          <w:rFonts w:asciiTheme="majorBidi" w:hAnsiTheme="majorBidi" w:cstheme="majorBidi"/>
          <w:sz w:val="24"/>
          <w:szCs w:val="24"/>
        </w:rPr>
        <w:t>After 28 days,</w:t>
      </w:r>
      <w:r w:rsidR="00AD48B6" w:rsidRPr="00AD48B6">
        <w:t xml:space="preserve"> </w:t>
      </w:r>
      <w:r w:rsidR="00AD48B6" w:rsidRPr="00AD48B6">
        <w:rPr>
          <w:rFonts w:asciiTheme="majorBidi" w:hAnsiTheme="majorBidi" w:cstheme="majorBidi"/>
          <w:sz w:val="24"/>
          <w:szCs w:val="24"/>
        </w:rPr>
        <w:t>Blood samples were collected by puncture of retro orbital plexus from rats in each group.</w:t>
      </w:r>
      <w:r w:rsidRPr="00B87EEC">
        <w:rPr>
          <w:rFonts w:asciiTheme="majorBidi" w:hAnsiTheme="majorBidi" w:cstheme="majorBidi"/>
          <w:sz w:val="24"/>
          <w:szCs w:val="24"/>
        </w:rPr>
        <w:t xml:space="preserve"> Blood received on disodium EDTA 10% solution (20 </w:t>
      </w:r>
      <w:proofErr w:type="spellStart"/>
      <w:r w:rsidRPr="00B87EEC">
        <w:rPr>
          <w:rFonts w:asciiTheme="majorBidi" w:hAnsiTheme="majorBidi" w:cstheme="majorBidi"/>
          <w:sz w:val="24"/>
          <w:szCs w:val="24"/>
        </w:rPr>
        <w:t>μl</w:t>
      </w:r>
      <w:proofErr w:type="spellEnd"/>
      <w:r w:rsidRPr="00B87EEC">
        <w:rPr>
          <w:rFonts w:asciiTheme="majorBidi" w:hAnsiTheme="majorBidi" w:cstheme="majorBidi"/>
          <w:sz w:val="24"/>
          <w:szCs w:val="24"/>
        </w:rPr>
        <w:t>/ml blood) was used for hematological studies.</w:t>
      </w:r>
      <w:r w:rsidR="00AD48B6" w:rsidRPr="00AD48B6">
        <w:rPr>
          <w:rFonts w:asciiTheme="majorBidi" w:hAnsiTheme="majorBidi" w:cstheme="majorBidi"/>
          <w:sz w:val="24"/>
          <w:szCs w:val="24"/>
        </w:rPr>
        <w:t xml:space="preserve"> </w:t>
      </w:r>
      <w:r w:rsidR="00AD48B6">
        <w:rPr>
          <w:rFonts w:asciiTheme="majorBidi" w:hAnsiTheme="majorBidi" w:cstheme="majorBidi"/>
          <w:sz w:val="24"/>
          <w:szCs w:val="24"/>
        </w:rPr>
        <w:t xml:space="preserve">Then, </w:t>
      </w:r>
      <w:r w:rsidR="00AD48B6" w:rsidRPr="00B87EEC">
        <w:rPr>
          <w:rFonts w:asciiTheme="majorBidi" w:hAnsiTheme="majorBidi" w:cstheme="majorBidi"/>
          <w:sz w:val="24"/>
          <w:szCs w:val="24"/>
        </w:rPr>
        <w:t>all rats were euthanized,</w:t>
      </w:r>
      <w:r w:rsidR="00AD48B6">
        <w:rPr>
          <w:rFonts w:asciiTheme="majorBidi" w:hAnsiTheme="majorBidi" w:cstheme="majorBidi"/>
          <w:sz w:val="24"/>
          <w:szCs w:val="24"/>
        </w:rPr>
        <w:t xml:space="preserve"> and liver </w:t>
      </w:r>
      <w:r w:rsidR="00AD48B6" w:rsidRPr="00B87EEC">
        <w:rPr>
          <w:rFonts w:asciiTheme="majorBidi" w:hAnsiTheme="majorBidi" w:cstheme="majorBidi"/>
          <w:sz w:val="24"/>
          <w:szCs w:val="24"/>
        </w:rPr>
        <w:t>tissue were collected.</w:t>
      </w:r>
    </w:p>
    <w:p w14:paraId="4359AB3A" w14:textId="620A9B85" w:rsidR="00AD48B6" w:rsidRDefault="00AD48B6" w:rsidP="00FA6001">
      <w:pPr>
        <w:spacing w:before="240" w:line="360" w:lineRule="auto"/>
        <w:ind w:left="-450"/>
        <w:jc w:val="both"/>
        <w:rPr>
          <w:rFonts w:asciiTheme="majorBidi" w:hAnsiTheme="majorBidi" w:cstheme="majorBidi"/>
          <w:sz w:val="24"/>
          <w:szCs w:val="24"/>
        </w:rPr>
      </w:pPr>
    </w:p>
    <w:p w14:paraId="4BFD3A26" w14:textId="77777777" w:rsidR="00AD48B6" w:rsidRPr="00B87EEC" w:rsidRDefault="00AD48B6" w:rsidP="00FA6001">
      <w:pPr>
        <w:spacing w:before="240" w:line="360" w:lineRule="auto"/>
        <w:ind w:left="-450"/>
        <w:jc w:val="both"/>
        <w:rPr>
          <w:rFonts w:asciiTheme="majorBidi" w:hAnsiTheme="majorBidi" w:cstheme="majorBidi"/>
          <w:sz w:val="24"/>
          <w:szCs w:val="24"/>
        </w:rPr>
      </w:pPr>
    </w:p>
    <w:p w14:paraId="3C1E0B20" w14:textId="70A9753A" w:rsidR="006E2422" w:rsidRPr="00BC0008" w:rsidRDefault="006E2422" w:rsidP="00FA6001">
      <w:pPr>
        <w:tabs>
          <w:tab w:val="right" w:pos="851"/>
          <w:tab w:val="left" w:pos="7368"/>
        </w:tabs>
        <w:spacing w:line="360" w:lineRule="auto"/>
        <w:ind w:left="-450"/>
        <w:jc w:val="both"/>
        <w:rPr>
          <w:rFonts w:asciiTheme="majorBidi" w:hAnsiTheme="majorBidi" w:cstheme="majorBidi"/>
          <w:b/>
          <w:bCs/>
          <w:sz w:val="24"/>
          <w:szCs w:val="24"/>
        </w:rPr>
      </w:pPr>
      <w:r w:rsidRPr="00BC0008">
        <w:rPr>
          <w:rFonts w:asciiTheme="majorBidi" w:hAnsiTheme="majorBidi" w:cstheme="majorBidi"/>
          <w:b/>
          <w:bCs/>
          <w:sz w:val="24"/>
          <w:szCs w:val="24"/>
        </w:rPr>
        <w:lastRenderedPageBreak/>
        <w:t>2.</w:t>
      </w:r>
      <w:r w:rsidR="000C0E99">
        <w:rPr>
          <w:rFonts w:asciiTheme="majorBidi" w:hAnsiTheme="majorBidi" w:cstheme="majorBidi" w:hint="cs"/>
          <w:b/>
          <w:bCs/>
          <w:sz w:val="24"/>
          <w:szCs w:val="24"/>
          <w:rtl/>
        </w:rPr>
        <w:t>5</w:t>
      </w:r>
      <w:r w:rsidRPr="00BC0008">
        <w:rPr>
          <w:rFonts w:asciiTheme="majorBidi" w:hAnsiTheme="majorBidi" w:cstheme="majorBidi"/>
          <w:b/>
          <w:bCs/>
          <w:sz w:val="24"/>
          <w:szCs w:val="24"/>
        </w:rPr>
        <w:t>. Serum biochemical analyses</w:t>
      </w:r>
    </w:p>
    <w:p w14:paraId="2F547D8C" w14:textId="2DD2F643" w:rsidR="00CB1CC0" w:rsidRPr="00CB1CC0" w:rsidRDefault="006E2422" w:rsidP="00CB1CC0">
      <w:pPr>
        <w:tabs>
          <w:tab w:val="right" w:pos="851"/>
          <w:tab w:val="left" w:pos="7368"/>
        </w:tabs>
        <w:spacing w:line="360" w:lineRule="auto"/>
        <w:ind w:left="-450"/>
        <w:jc w:val="both"/>
        <w:rPr>
          <w:rFonts w:asciiTheme="majorBidi" w:hAnsiTheme="majorBidi" w:cstheme="majorBidi"/>
          <w:b/>
          <w:bCs/>
          <w:i/>
          <w:iCs/>
          <w:sz w:val="24"/>
          <w:szCs w:val="24"/>
        </w:rPr>
      </w:pPr>
      <w:r w:rsidRPr="006E2422">
        <w:rPr>
          <w:rFonts w:asciiTheme="majorBidi" w:hAnsiTheme="majorBidi" w:cstheme="majorBidi"/>
          <w:sz w:val="24"/>
          <w:szCs w:val="24"/>
        </w:rPr>
        <w:t xml:space="preserve">The collected sera were used for assessing the liver function parameters, including AST, ALT, </w:t>
      </w:r>
      <w:r>
        <w:rPr>
          <w:rFonts w:asciiTheme="majorBidi" w:hAnsiTheme="majorBidi" w:cstheme="majorBidi"/>
          <w:sz w:val="24"/>
          <w:szCs w:val="24"/>
        </w:rPr>
        <w:t>total protein</w:t>
      </w:r>
      <w:r w:rsidRPr="006E2422">
        <w:rPr>
          <w:rFonts w:asciiTheme="majorBidi" w:hAnsiTheme="majorBidi" w:cstheme="majorBidi"/>
          <w:sz w:val="24"/>
          <w:szCs w:val="24"/>
        </w:rPr>
        <w:t xml:space="preserve">, and </w:t>
      </w:r>
      <w:r>
        <w:rPr>
          <w:rFonts w:asciiTheme="majorBidi" w:hAnsiTheme="majorBidi" w:cstheme="majorBidi"/>
          <w:sz w:val="24"/>
          <w:szCs w:val="24"/>
        </w:rPr>
        <w:t>albumin</w:t>
      </w:r>
      <w:r w:rsidR="00AD48B6">
        <w:rPr>
          <w:rFonts w:asciiTheme="majorBidi" w:hAnsiTheme="majorBidi" w:cstheme="majorBidi"/>
          <w:sz w:val="24"/>
          <w:szCs w:val="24"/>
        </w:rPr>
        <w:t>.</w:t>
      </w:r>
      <w:r>
        <w:rPr>
          <w:rFonts w:asciiTheme="majorBidi" w:hAnsiTheme="majorBidi" w:cstheme="majorBidi"/>
          <w:sz w:val="24"/>
          <w:szCs w:val="24"/>
        </w:rPr>
        <w:t xml:space="preserve"> </w:t>
      </w:r>
      <w:r w:rsidR="00CB1CC0" w:rsidRPr="00CB1CC0">
        <w:rPr>
          <w:rFonts w:asciiTheme="majorBidi" w:hAnsiTheme="majorBidi" w:cstheme="majorBidi"/>
          <w:sz w:val="24"/>
          <w:szCs w:val="24"/>
        </w:rPr>
        <w:t>AST, ALT</w:t>
      </w:r>
      <w:r w:rsidR="00CB1CC0">
        <w:rPr>
          <w:rFonts w:asciiTheme="majorBidi" w:hAnsiTheme="majorBidi" w:cstheme="majorBidi"/>
          <w:sz w:val="24"/>
          <w:szCs w:val="24"/>
        </w:rPr>
        <w:t xml:space="preserve"> </w:t>
      </w:r>
      <w:r w:rsidR="00CB1CC0" w:rsidRPr="00DE24E0">
        <w:rPr>
          <w:rFonts w:asciiTheme="majorBidi" w:hAnsiTheme="majorBidi" w:cstheme="majorBidi"/>
          <w:sz w:val="28"/>
          <w:szCs w:val="28"/>
        </w:rPr>
        <w:t>estimated according to</w:t>
      </w:r>
      <w:r w:rsidR="00CB1CC0">
        <w:rPr>
          <w:rFonts w:asciiTheme="majorBidi" w:hAnsiTheme="majorBidi" w:cstheme="majorBidi"/>
          <w:sz w:val="28"/>
          <w:szCs w:val="28"/>
        </w:rPr>
        <w:t xml:space="preserve"> method of</w:t>
      </w:r>
      <w:r w:rsidR="00CB1CC0" w:rsidRPr="00DE24E0">
        <w:rPr>
          <w:rFonts w:asciiTheme="majorBidi" w:hAnsiTheme="majorBidi" w:cstheme="majorBidi"/>
          <w:sz w:val="28"/>
          <w:szCs w:val="28"/>
        </w:rPr>
        <w:t xml:space="preserve"> </w:t>
      </w:r>
      <w:r w:rsidR="00CB1CC0" w:rsidRPr="00CB1CC0">
        <w:rPr>
          <w:rFonts w:asciiTheme="majorBidi" w:hAnsiTheme="majorBidi" w:cstheme="majorBidi"/>
          <w:b/>
          <w:bCs/>
          <w:sz w:val="24"/>
          <w:szCs w:val="24"/>
        </w:rPr>
        <w:fldChar w:fldCharType="begin" w:fldLock="1"/>
      </w:r>
      <w:r w:rsidR="00796B99">
        <w:rPr>
          <w:rFonts w:asciiTheme="majorBidi" w:hAnsiTheme="majorBidi" w:cstheme="majorBidi"/>
          <w:b/>
          <w:bCs/>
          <w:sz w:val="24"/>
          <w:szCs w:val="24"/>
        </w:rPr>
        <w:instrText>ADDIN CSL_CITATION {"citationItems":[{"id":"ITEM-1","itemData":{"DOI":"10.1136/jcp.25.11.940","ISSN":"00219746","author":[{"dropping-particle":"","family":"Wilkinson","given":"J. H.","non-dropping-particle":"","parse-names":false,"suffix":""},{"dropping-particle":"","family":"Baron","given":"D. N.","non-dropping-particle":"","parse-names":false,"suffix":""},{"dropping-particle":"","family":"Moss","given":"D. W.","non-dropping-particle":"","parse-names":false,"suffix":""},{"dropping-particle":"","family":"Walker","given":"P. G.","non-dropping-particle":"","parse-names":false,"suffix":""}],"container-title":"Journal of clinical pathology","id":"ITEM-1","issue":"11","issued":{"date-parts":[["1972"]]},"page":"940-944","title":"Standardization of clinical enzyme assays: a reference method for aspartate and alanine transaminases.","type":"article-journal","volume":"25"},"uris":["http://www.mendeley.com/documents/?uuid=f6e16c58-827f-430d-be44-19f8f0bff4ad"]}],"mendeley":{"formattedCitation":"(Wilkinson, Baron, Moss, &amp; Walker, 1972)","plainTextFormattedCitation":"(Wilkinson, Baron, Moss, &amp; Walker, 1972)","previouslyFormattedCitation":"(Wilkinson, Baron, Moss, &amp; Walker, 1972)"},"properties":{"noteIndex":0},"schema":"https://github.com/citation-style-language/schema/raw/master/csl-citation.json"}</w:instrText>
      </w:r>
      <w:r w:rsidR="00CB1CC0" w:rsidRPr="00CB1CC0">
        <w:rPr>
          <w:rFonts w:asciiTheme="majorBidi" w:hAnsiTheme="majorBidi" w:cstheme="majorBidi"/>
          <w:b/>
          <w:bCs/>
          <w:sz w:val="24"/>
          <w:szCs w:val="24"/>
        </w:rPr>
        <w:fldChar w:fldCharType="separate"/>
      </w:r>
      <w:r w:rsidR="00B6605D" w:rsidRPr="00B6605D">
        <w:rPr>
          <w:rFonts w:asciiTheme="majorBidi" w:hAnsiTheme="majorBidi" w:cstheme="majorBidi"/>
          <w:bCs/>
          <w:noProof/>
          <w:sz w:val="24"/>
          <w:szCs w:val="24"/>
        </w:rPr>
        <w:t>(Wilkinson, Baron, Moss, &amp; Walker, 1972)</w:t>
      </w:r>
      <w:r w:rsidR="00CB1CC0" w:rsidRPr="00CB1CC0">
        <w:rPr>
          <w:rFonts w:asciiTheme="majorBidi" w:hAnsiTheme="majorBidi" w:cstheme="majorBidi"/>
          <w:b/>
          <w:bCs/>
          <w:sz w:val="24"/>
          <w:szCs w:val="24"/>
        </w:rPr>
        <w:fldChar w:fldCharType="end"/>
      </w:r>
      <w:r w:rsidR="00CB1CC0" w:rsidRPr="00CB1CC0">
        <w:rPr>
          <w:rFonts w:asciiTheme="majorBidi" w:hAnsiTheme="majorBidi" w:cstheme="majorBidi"/>
          <w:b/>
          <w:bCs/>
          <w:i/>
          <w:iCs/>
          <w:sz w:val="24"/>
          <w:szCs w:val="24"/>
        </w:rPr>
        <w:t>.</w:t>
      </w:r>
      <w:r w:rsidR="00CB1CC0" w:rsidRPr="00CB1CC0">
        <w:rPr>
          <w:rFonts w:asciiTheme="majorBidi" w:hAnsiTheme="majorBidi" w:cstheme="majorBidi"/>
          <w:sz w:val="24"/>
          <w:szCs w:val="24"/>
        </w:rPr>
        <w:t xml:space="preserve">While, total protein was were evaluated as described by </w:t>
      </w:r>
      <w:r w:rsidR="00CB1CC0" w:rsidRPr="00CB1CC0">
        <w:rPr>
          <w:rFonts w:asciiTheme="majorBidi" w:hAnsiTheme="majorBidi" w:cstheme="majorBidi"/>
          <w:b/>
          <w:bCs/>
          <w:sz w:val="24"/>
          <w:szCs w:val="24"/>
        </w:rPr>
        <w:fldChar w:fldCharType="begin" w:fldLock="1"/>
      </w:r>
      <w:r w:rsidR="00CB1CC0" w:rsidRPr="00CB1CC0">
        <w:rPr>
          <w:rFonts w:asciiTheme="majorBidi" w:hAnsiTheme="majorBidi" w:cstheme="majorBidi"/>
          <w:b/>
          <w:bCs/>
          <w:sz w:val="24"/>
          <w:szCs w:val="24"/>
        </w:rPr>
        <w:instrText>ADDIN CSL_CITATION {"citationItems":[{"id":"ITEM-1","itemData":{"DOI":"10.2307/j.ctv3dnq8z.41","author":[{"dropping-particle":"","family":"Gornall , A.G.; Badawill , David","given":"M.M","non-dropping-particle":"","parse-names":false,"suffix":""}],"container-title":"The Operation Reinhard Death Camps, Revised and Expanded Edition","id":"ITEM-1","issue":"11","issued":{"date-parts":[["1949"]]},"page":"334-343","title":"August 2, 1943:","type":"article-journal"},"uris":["http://www.mendeley.com/documents/?uuid=1628b65f-a751-4165-8950-4f69e01db7a9"]}],"mendeley":{"formattedCitation":"(Gornall , A.G.; Badawill , David, 1949)","manualFormatting":"(Gornall et al., 1949)","plainTextFormattedCitation":"(Gornall , A.G.; Badawill , David, 1949)","previouslyFormattedCitation":"(Gornall , A.G.; Badawill , David, 1949)"},"properties":{"noteIndex":0},"schema":"https://github.com/citation-style-language/schema/raw/master/csl-citation.json"}</w:instrText>
      </w:r>
      <w:r w:rsidR="00CB1CC0" w:rsidRPr="00CB1CC0">
        <w:rPr>
          <w:rFonts w:asciiTheme="majorBidi" w:hAnsiTheme="majorBidi" w:cstheme="majorBidi"/>
          <w:b/>
          <w:bCs/>
          <w:sz w:val="24"/>
          <w:szCs w:val="24"/>
        </w:rPr>
        <w:fldChar w:fldCharType="separate"/>
      </w:r>
      <w:r w:rsidR="00CB1CC0" w:rsidRPr="00CB1CC0">
        <w:rPr>
          <w:rFonts w:asciiTheme="majorBidi" w:hAnsiTheme="majorBidi" w:cstheme="majorBidi"/>
          <w:b/>
          <w:bCs/>
          <w:noProof/>
          <w:sz w:val="24"/>
          <w:szCs w:val="24"/>
        </w:rPr>
        <w:t>(</w:t>
      </w:r>
      <w:r w:rsidR="00CB1CC0" w:rsidRPr="00CB1CC0">
        <w:rPr>
          <w:rFonts w:asciiTheme="majorBidi" w:hAnsiTheme="majorBidi" w:cstheme="majorBidi"/>
          <w:b/>
          <w:bCs/>
          <w:i/>
          <w:iCs/>
          <w:noProof/>
          <w:sz w:val="24"/>
          <w:szCs w:val="24"/>
        </w:rPr>
        <w:t>Gornall et al., 1949)</w:t>
      </w:r>
      <w:r w:rsidR="00CB1CC0" w:rsidRPr="00CB1CC0">
        <w:rPr>
          <w:rFonts w:asciiTheme="majorBidi" w:hAnsiTheme="majorBidi" w:cstheme="majorBidi"/>
          <w:b/>
          <w:bCs/>
          <w:sz w:val="24"/>
          <w:szCs w:val="24"/>
        </w:rPr>
        <w:fldChar w:fldCharType="end"/>
      </w:r>
      <w:r w:rsidR="00CB1CC0" w:rsidRPr="00CB1CC0">
        <w:rPr>
          <w:rFonts w:asciiTheme="majorBidi" w:hAnsiTheme="majorBidi" w:cstheme="majorBidi"/>
          <w:b/>
          <w:bCs/>
          <w:sz w:val="24"/>
          <w:szCs w:val="24"/>
        </w:rPr>
        <w:t xml:space="preserve"> </w:t>
      </w:r>
      <w:r w:rsidR="00CB1CC0" w:rsidRPr="00CB1CC0">
        <w:rPr>
          <w:rFonts w:asciiTheme="majorBidi" w:hAnsiTheme="majorBidi" w:cstheme="majorBidi"/>
          <w:sz w:val="24"/>
          <w:szCs w:val="24"/>
        </w:rPr>
        <w:t xml:space="preserve">and albumin was determined colorimetrically according to the method described by </w:t>
      </w:r>
      <w:r w:rsidR="00CB1CC0" w:rsidRPr="00CB1CC0">
        <w:rPr>
          <w:rFonts w:asciiTheme="majorBidi" w:hAnsiTheme="majorBidi" w:cstheme="majorBidi"/>
          <w:b/>
          <w:bCs/>
          <w:i/>
          <w:iCs/>
          <w:sz w:val="24"/>
          <w:szCs w:val="24"/>
        </w:rPr>
        <w:fldChar w:fldCharType="begin" w:fldLock="1"/>
      </w:r>
      <w:r w:rsidR="00CB1CC0" w:rsidRPr="00CB1CC0">
        <w:rPr>
          <w:rFonts w:asciiTheme="majorBidi" w:hAnsiTheme="majorBidi" w:cstheme="majorBidi"/>
          <w:b/>
          <w:bCs/>
          <w:i/>
          <w:iCs/>
          <w:sz w:val="24"/>
          <w:szCs w:val="24"/>
        </w:rPr>
        <w:instrText>ADDIN CSL_CITATION {"citationItems":[{"id":"ITEM-1","itemData":{"DOI":"10.1093/clinchem/27.2.322","ISSN":"00099147","PMID":"6780242","abstract":"The methods most commonly used for determination of albumin in serum depend on its binding of dyes. The binding of many drugs as well as of several dyes is impaired in azotemic sera from patients with renal failure. We therefore evaluated four methods used to measure albumin concentration in sera of patients with various degrees of renal failure, comparing results with those by the most specific method, radial immunodiffusion. The automated bromcresol green, manual immediate bromcresol green, cellulose acetate electrophoresis, 2-(4'-hydroxyazobenzene)benzoic acid binding, and Na2SO3 precipitation/biuret methods were evaluated. The correlations with results of radial immunodiffusion for azotemic sera differed from method to method but were approximately the same for each method, as in previous published reports for samples from a heterogeneous population of patients. The ratios of serum albumin concentration by these methods to albumin concentration as measured by radial immunodiffusion ranged from 0.96 to 1.13 for 29 to 41 normal and azotemic sera, but none of the ratios showed any variation beyond random scatter over a range of serum creatinine from 6.0 to 180 mg/L. Thus the choice of method to apply to azotemic sera will depend on the relative importance of accuracy, speed, cost, and technical complexity.","author":[{"dropping-particle":"","family":"Paul F. Gulyassy, Thomas A. Depner","given":"and Wilson K. Ma","non-dropping-particle":"","parse-names":false,"suffix":""}],"container-title":"Clinical Chemistry","id":"ITEM-1","issue":"2","issued":{"date-parts":[["1981"]]},"page":"322-325","title":"Four methods for determining albumin in azotemic sera evaluated","type":"article-journal","volume":"27"},"uris":["http://www.mendeley.com/documents/?uuid=eb891dc5-e268-481f-a199-2e3dca0de7dc"]}],"mendeley":{"formattedCitation":"(Paul F. Gulyassy, Thomas A. Depner, 1981)","manualFormatting":"(Paul et al., 1981)","plainTextFormattedCitation":"(Paul F. Gulyassy, Thomas A. Depner, 1981)","previouslyFormattedCitation":"(Paul F. Gulyassy, Thomas A. Depner, 1981)"},"properties":{"noteIndex":0},"schema":"https://github.com/citation-style-language/schema/raw/master/csl-citation.json"}</w:instrText>
      </w:r>
      <w:r w:rsidR="00CB1CC0" w:rsidRPr="00CB1CC0">
        <w:rPr>
          <w:rFonts w:asciiTheme="majorBidi" w:hAnsiTheme="majorBidi" w:cstheme="majorBidi"/>
          <w:b/>
          <w:bCs/>
          <w:i/>
          <w:iCs/>
          <w:sz w:val="24"/>
          <w:szCs w:val="24"/>
        </w:rPr>
        <w:fldChar w:fldCharType="separate"/>
      </w:r>
      <w:r w:rsidR="00CB1CC0" w:rsidRPr="00CB1CC0">
        <w:rPr>
          <w:rFonts w:asciiTheme="majorBidi" w:hAnsiTheme="majorBidi" w:cstheme="majorBidi"/>
          <w:b/>
          <w:bCs/>
          <w:i/>
          <w:iCs/>
          <w:noProof/>
          <w:sz w:val="24"/>
          <w:szCs w:val="24"/>
        </w:rPr>
        <w:t>(Paul et al., 1981)</w:t>
      </w:r>
      <w:r w:rsidR="00CB1CC0" w:rsidRPr="00CB1CC0">
        <w:rPr>
          <w:rFonts w:asciiTheme="majorBidi" w:hAnsiTheme="majorBidi" w:cstheme="majorBidi"/>
          <w:b/>
          <w:bCs/>
          <w:i/>
          <w:iCs/>
          <w:sz w:val="24"/>
          <w:szCs w:val="24"/>
        </w:rPr>
        <w:fldChar w:fldCharType="end"/>
      </w:r>
    </w:p>
    <w:p w14:paraId="43F263A1" w14:textId="044AE903" w:rsidR="009A5F2C" w:rsidRDefault="00B87EEC" w:rsidP="00FA6001">
      <w:pPr>
        <w:spacing w:line="360" w:lineRule="auto"/>
        <w:ind w:left="-450" w:right="117"/>
        <w:jc w:val="both"/>
        <w:rPr>
          <w:rFonts w:asciiTheme="majorBidi" w:hAnsiTheme="majorBidi" w:cstheme="majorBidi"/>
          <w:b/>
          <w:bCs/>
          <w:color w:val="000000" w:themeColor="text1"/>
          <w:sz w:val="24"/>
          <w:szCs w:val="24"/>
        </w:rPr>
      </w:pPr>
      <w:r w:rsidRPr="00B87EEC">
        <w:rPr>
          <w:rFonts w:asciiTheme="majorBidi" w:hAnsiTheme="majorBidi" w:cstheme="majorBidi"/>
          <w:b/>
          <w:bCs/>
          <w:color w:val="000000" w:themeColor="text1"/>
          <w:sz w:val="24"/>
          <w:szCs w:val="24"/>
        </w:rPr>
        <w:t>2.</w:t>
      </w:r>
      <w:r w:rsidR="000C0E99">
        <w:rPr>
          <w:rFonts w:asciiTheme="majorBidi" w:hAnsiTheme="majorBidi" w:cstheme="majorBidi" w:hint="cs"/>
          <w:b/>
          <w:bCs/>
          <w:color w:val="000000" w:themeColor="text1"/>
          <w:sz w:val="24"/>
          <w:szCs w:val="24"/>
          <w:rtl/>
        </w:rPr>
        <w:t>6</w:t>
      </w:r>
      <w:r w:rsidRPr="00B87EEC">
        <w:rPr>
          <w:rFonts w:asciiTheme="majorBidi" w:hAnsiTheme="majorBidi" w:cstheme="majorBidi"/>
          <w:b/>
          <w:bCs/>
          <w:color w:val="000000" w:themeColor="text1"/>
          <w:sz w:val="24"/>
          <w:szCs w:val="24"/>
        </w:rPr>
        <w:t xml:space="preserve">. </w:t>
      </w:r>
      <w:r w:rsidR="009A5F2C" w:rsidRPr="009A5F2C">
        <w:rPr>
          <w:rFonts w:asciiTheme="majorBidi" w:hAnsiTheme="majorBidi" w:cstheme="majorBidi"/>
          <w:b/>
          <w:bCs/>
          <w:color w:val="000000" w:themeColor="text1"/>
          <w:sz w:val="24"/>
          <w:szCs w:val="24"/>
        </w:rPr>
        <w:t xml:space="preserve">Evaluation of oxidative stress markers </w:t>
      </w:r>
    </w:p>
    <w:p w14:paraId="1A568A18" w14:textId="18007E9D" w:rsidR="00CB1CC0" w:rsidRPr="00CB1CC0" w:rsidRDefault="009A5F2C" w:rsidP="00CB1CC0">
      <w:pPr>
        <w:spacing w:line="360" w:lineRule="auto"/>
        <w:ind w:left="-450" w:right="117"/>
        <w:jc w:val="both"/>
        <w:rPr>
          <w:rFonts w:asciiTheme="majorBidi" w:hAnsiTheme="majorBidi" w:cstheme="majorBidi"/>
          <w:color w:val="000000" w:themeColor="text1"/>
          <w:sz w:val="24"/>
          <w:szCs w:val="24"/>
        </w:rPr>
      </w:pPr>
      <w:r w:rsidRPr="00CB1CC0">
        <w:rPr>
          <w:rFonts w:asciiTheme="majorBidi" w:hAnsiTheme="majorBidi" w:cstheme="majorBidi"/>
          <w:color w:val="000000" w:themeColor="text1"/>
          <w:sz w:val="24"/>
          <w:szCs w:val="24"/>
        </w:rPr>
        <w:t>Lipid peroxidation was measured by determination of MDA content in liver homogenates</w:t>
      </w:r>
      <w:r w:rsidR="00CB1CC0" w:rsidRPr="00CB1CC0">
        <w:rPr>
          <w:rFonts w:asciiTheme="majorBidi" w:hAnsiTheme="majorBidi" w:cstheme="majorBidi"/>
          <w:sz w:val="24"/>
          <w:szCs w:val="24"/>
        </w:rPr>
        <w:t xml:space="preserve"> according to method adapted by </w:t>
      </w:r>
      <w:r w:rsidR="00CB1CC0" w:rsidRPr="00CB1CC0">
        <w:rPr>
          <w:rFonts w:asciiTheme="majorBidi" w:hAnsiTheme="majorBidi" w:cstheme="majorBidi"/>
          <w:b/>
          <w:bCs/>
          <w:sz w:val="24"/>
          <w:szCs w:val="24"/>
        </w:rPr>
        <w:fldChar w:fldCharType="begin" w:fldLock="1"/>
      </w:r>
      <w:r w:rsidR="00CB1CC0">
        <w:rPr>
          <w:rFonts w:asciiTheme="majorBidi" w:hAnsiTheme="majorBidi" w:cstheme="majorBidi"/>
          <w:b/>
          <w:bCs/>
          <w:sz w:val="24"/>
          <w:szCs w:val="24"/>
        </w:rPr>
        <w:instrText>ADDIN CSL_CITATION {"citationItems":[{"id":"ITEM-1","itemData":{"DOI":"10.1016/0009-8981(78)90081-5","ISSN":"00098981","PMID":"719890","abstract":"A new colorimetric method for quantitative analysis of serum lipid peroxide, free of interference from sialic acids, has been developed. We have used the thiobarbituric acid dissolved in sodium sulfate solution and both liberation of lipid peroxide and color reaction have been performed simultaneously by heating serum protein precipitate with this reagent in a weak acid solution. p]The new method is specific and facilitates the precise measurements of serum lipid peroxide. The average values determined by the new method increased slightly with age in healthy subjects. In patients with sequelae of cerebrovascular disorders, serum lipid peroxide values were higher than in healthy controls. These results may demonstrate the important role of lipid peroxide in aging and cerebrovascular disorders. © 1978.","author":[{"dropping-particle":"","family":"SATOH","given":"KEI","non-dropping-particle":"","parse-names":false,"suffix":""}],"container-title":"Clinica Chimica Acta","id":"ITEM-1","issue":"1","issued":{"date-parts":[["1978"]]},"page":"37-43","title":"Serum lipid peroxide in cerebrovascular disorders determined by a new colorimetric method","type":"article-journal","volume":"90"},"uris":["http://www.mendeley.com/documents/?uuid=01a196b4-ea3c-4e4c-be6b-41185c729ade"]}],"mendeley":{"formattedCitation":"(SATOH, 1978)","manualFormatting":"(satoh, 1978)","plainTextFormattedCitation":"(SATOH, 1978)","previouslyFormattedCitation":"(SATOH, 1978)"},"properties":{"noteIndex":0},"schema":"https://github.com/citation-style-language/schema/raw/master/csl-citation.json"}</w:instrText>
      </w:r>
      <w:r w:rsidR="00CB1CC0" w:rsidRPr="00CB1CC0">
        <w:rPr>
          <w:rFonts w:asciiTheme="majorBidi" w:hAnsiTheme="majorBidi" w:cstheme="majorBidi"/>
          <w:b/>
          <w:bCs/>
          <w:sz w:val="24"/>
          <w:szCs w:val="24"/>
        </w:rPr>
        <w:fldChar w:fldCharType="separate"/>
      </w:r>
      <w:r w:rsidR="00CB1CC0" w:rsidRPr="00CB1CC0">
        <w:rPr>
          <w:rFonts w:asciiTheme="majorBidi" w:hAnsiTheme="majorBidi" w:cstheme="majorBidi"/>
          <w:b/>
          <w:bCs/>
          <w:noProof/>
          <w:sz w:val="24"/>
          <w:szCs w:val="24"/>
        </w:rPr>
        <w:t>(</w:t>
      </w:r>
      <w:r w:rsidR="00CB1CC0">
        <w:rPr>
          <w:rFonts w:asciiTheme="majorBidi" w:hAnsiTheme="majorBidi" w:cstheme="majorBidi"/>
          <w:b/>
          <w:bCs/>
          <w:noProof/>
          <w:sz w:val="24"/>
          <w:szCs w:val="24"/>
        </w:rPr>
        <w:t>satoh</w:t>
      </w:r>
      <w:r w:rsidR="00CB1CC0" w:rsidRPr="00CB1CC0">
        <w:rPr>
          <w:rFonts w:asciiTheme="majorBidi" w:hAnsiTheme="majorBidi" w:cstheme="majorBidi"/>
          <w:b/>
          <w:bCs/>
          <w:noProof/>
          <w:sz w:val="24"/>
          <w:szCs w:val="24"/>
        </w:rPr>
        <w:t>, 1978)</w:t>
      </w:r>
      <w:r w:rsidR="00CB1CC0" w:rsidRPr="00CB1CC0">
        <w:rPr>
          <w:rFonts w:asciiTheme="majorBidi" w:hAnsiTheme="majorBidi" w:cstheme="majorBidi"/>
          <w:b/>
          <w:bCs/>
          <w:sz w:val="24"/>
          <w:szCs w:val="24"/>
        </w:rPr>
        <w:fldChar w:fldCharType="end"/>
      </w:r>
      <w:r w:rsidRPr="00CB1CC0">
        <w:rPr>
          <w:rFonts w:asciiTheme="majorBidi" w:hAnsiTheme="majorBidi" w:cstheme="majorBidi"/>
          <w:color w:val="000000" w:themeColor="text1"/>
          <w:sz w:val="24"/>
          <w:szCs w:val="24"/>
        </w:rPr>
        <w:t xml:space="preserve">. Additionally, </w:t>
      </w:r>
      <w:r w:rsidR="00CB1CC0" w:rsidRPr="00CB1CC0">
        <w:rPr>
          <w:rFonts w:asciiTheme="majorBidi" w:hAnsiTheme="majorBidi" w:cstheme="majorBidi"/>
          <w:sz w:val="24"/>
          <w:szCs w:val="24"/>
        </w:rPr>
        <w:t>NO was determined according to method adapted by</w:t>
      </w:r>
      <w:r w:rsidR="00CB1CC0" w:rsidRPr="00CB1CC0">
        <w:rPr>
          <w:rFonts w:asciiTheme="majorBidi" w:hAnsiTheme="majorBidi" w:cstheme="majorBidi"/>
          <w:b/>
          <w:bCs/>
          <w:sz w:val="24"/>
          <w:szCs w:val="24"/>
        </w:rPr>
        <w:fldChar w:fldCharType="begin" w:fldLock="1"/>
      </w:r>
      <w:r w:rsidR="00796B99">
        <w:rPr>
          <w:rFonts w:asciiTheme="majorBidi" w:hAnsiTheme="majorBidi" w:cstheme="majorBidi"/>
          <w:b/>
          <w:bCs/>
          <w:sz w:val="24"/>
          <w:szCs w:val="24"/>
        </w:rPr>
        <w:instrText>ADDIN CSL_CITATION {"citationItems":[{"id":"ITEM-1","itemData":{"DOI":"10.1016/j.ejogrb.2008.09.005","ISSN":"03012115","abstract":"Objective: To study a possible role of nitric oxide (NO) as a marker of development in the early phases of human embryo cleavage during assisted reproduction. Study design: 179 women having ART were included. 123 women used fresh oocytes and 56 oocyte thawing cycles in the Center of Reproductive Medicine, Department of Obstetrics and Gynecology, Arcispedale S. Maria Nuova, between July 2005 and June 2006; 57 patients had IVF and 122 patients had ICSI. NO concentrations in IVF or ICSI embryo culture media were assessed by monitoring levels of NO stable oxidation products (nitrites/nitrates). Analysis of embryo quality was performed. Student's t-test or Mann-Whitney and logistic regression model tests were applied to the data. Results: In patients using fresh oocytes, there were greater NO production in embryos derived from ICSI than from IVF after 52 h of culture (38.64 μmol/L vs 11.2 μmol/L, p &lt; 0.05). No correlation with embryo quality was observed. Embryos derived from fresh oocytes produce more NO than embryos from thawed oocytes both after 48 and 52 h of culture (16.12 μmol/L vs 6.83 μmol/L and 25.93 μmol/L vs 2.98 μmol/L respectively, p &lt; 0.05). Conclusion(s): NO in embryo culture media is not a metabolic cleavage marker or a marker of embryo quality in ART. However, it could be an important parameter in the investigation of metabolism in frozen/thawed oocytes. © 2008 Elsevier Ireland Ltd. All rights reserved.","author":[{"dropping-particle":"","family":"Gallinelli","given":"Andrea","non-dropping-particle":"","parse-names":false,"suffix":""},{"dropping-particle":"","family":"Nicoli","given":"Alessia","non-dropping-particle":"","parse-names":false,"suffix":""},{"dropping-particle":"","family":"Capodanno","given":"Francesco","non-dropping-particle":"","parse-names":false,"suffix":""},{"dropping-particle":"","family":"Valli","given":"Barbara","non-dropping-particle":"","parse-names":false,"suffix":""},{"dropping-particle":"","family":"Facchinetti","given":"Fabio","non-dropping-particle":"","parse-names":false,"suffix":""},{"dropping-particle":"","family":"Sala","given":"Giovanni B.","non-dropping-particle":"La","parse-names":false,"suffix":""}],"container-title":"European Journal of Obstetrics and Gynecology and Reproductive Biology","id":"ITEM-1","issue":"1","issued":{"date-parts":[["2009"]]},"page":"48-52","title":"Nitric oxide as an early marker of human embryo metabolic cleavage in ART using fresh or thawed oocytes","type":"article-journal","volume":"142"},"uris":["http://www.mendeley.com/documents/?uuid=07af69d0-7275-44f7-a6ea-1c936fbc27af"]}],"mendeley":{"formattedCitation":"(Gallinelli et al., 2009)","plainTextFormattedCitation":"(Gallinelli et al., 2009)","previouslyFormattedCitation":"(Gallinelli et al., 2009)"},"properties":{"noteIndex":0},"schema":"https://github.com/citation-style-language/schema/raw/master/csl-citation.json"}</w:instrText>
      </w:r>
      <w:r w:rsidR="00CB1CC0" w:rsidRPr="00CB1CC0">
        <w:rPr>
          <w:rFonts w:asciiTheme="majorBidi" w:hAnsiTheme="majorBidi" w:cstheme="majorBidi"/>
          <w:b/>
          <w:bCs/>
          <w:sz w:val="24"/>
          <w:szCs w:val="24"/>
        </w:rPr>
        <w:fldChar w:fldCharType="separate"/>
      </w:r>
      <w:r w:rsidR="00CB1CC0" w:rsidRPr="00B6605D">
        <w:rPr>
          <w:rFonts w:asciiTheme="majorBidi" w:hAnsiTheme="majorBidi" w:cstheme="majorBidi"/>
          <w:bCs/>
          <w:noProof/>
          <w:sz w:val="24"/>
          <w:szCs w:val="24"/>
        </w:rPr>
        <w:t>(</w:t>
      </w:r>
      <w:proofErr w:type="spellStart"/>
      <w:r w:rsidR="00CB1CC0" w:rsidRPr="00B6605D">
        <w:rPr>
          <w:rFonts w:asciiTheme="majorBidi" w:hAnsiTheme="majorBidi" w:cstheme="majorBidi"/>
          <w:bCs/>
          <w:noProof/>
          <w:sz w:val="24"/>
          <w:szCs w:val="24"/>
        </w:rPr>
        <w:t>Gallinelli</w:t>
      </w:r>
      <w:proofErr w:type="spellEnd"/>
      <w:r w:rsidR="00CB1CC0" w:rsidRPr="00B6605D">
        <w:rPr>
          <w:rFonts w:asciiTheme="majorBidi" w:hAnsiTheme="majorBidi" w:cstheme="majorBidi"/>
          <w:bCs/>
          <w:noProof/>
          <w:sz w:val="24"/>
          <w:szCs w:val="24"/>
        </w:rPr>
        <w:t xml:space="preserve"> </w:t>
      </w:r>
      <w:r w:rsidR="00CB1CC0" w:rsidRPr="00B6605D">
        <w:rPr>
          <w:rFonts w:asciiTheme="majorBidi" w:hAnsiTheme="majorBidi" w:cstheme="majorBidi"/>
          <w:bCs/>
          <w:iCs/>
          <w:noProof/>
          <w:sz w:val="24"/>
          <w:szCs w:val="24"/>
        </w:rPr>
        <w:t>et al</w:t>
      </w:r>
      <w:r w:rsidR="00CB1CC0" w:rsidRPr="00B6605D">
        <w:rPr>
          <w:rFonts w:asciiTheme="majorBidi" w:hAnsiTheme="majorBidi" w:cstheme="majorBidi"/>
          <w:bCs/>
          <w:noProof/>
          <w:sz w:val="24"/>
          <w:szCs w:val="24"/>
        </w:rPr>
        <w:t>., 2009)</w:t>
      </w:r>
      <w:r w:rsidR="00CB1CC0" w:rsidRPr="00CB1CC0">
        <w:rPr>
          <w:rFonts w:asciiTheme="majorBidi" w:hAnsiTheme="majorBidi" w:cstheme="majorBidi"/>
          <w:b/>
          <w:bCs/>
          <w:sz w:val="24"/>
          <w:szCs w:val="24"/>
        </w:rPr>
        <w:fldChar w:fldCharType="end"/>
      </w:r>
      <w:r w:rsidR="00CB1CC0" w:rsidRPr="00CB1CC0">
        <w:rPr>
          <w:sz w:val="24"/>
          <w:szCs w:val="24"/>
        </w:rPr>
        <w:t xml:space="preserve"> </w:t>
      </w:r>
      <w:r w:rsidR="00CB1CC0" w:rsidRPr="00CB1CC0">
        <w:rPr>
          <w:rFonts w:asciiTheme="majorBidi" w:hAnsiTheme="majorBidi" w:cstheme="majorBidi"/>
          <w:sz w:val="24"/>
          <w:szCs w:val="24"/>
        </w:rPr>
        <w:t xml:space="preserve">and (TAC) levels ,the analysis was done according to </w:t>
      </w:r>
      <w:r w:rsidR="00CB1CC0" w:rsidRPr="00CB1CC0">
        <w:rPr>
          <w:rFonts w:asciiTheme="majorBidi" w:hAnsiTheme="majorBidi" w:cstheme="majorBidi"/>
          <w:b/>
          <w:bCs/>
          <w:sz w:val="24"/>
          <w:szCs w:val="24"/>
        </w:rPr>
        <w:t>(Sinha, 1972)</w:t>
      </w:r>
    </w:p>
    <w:p w14:paraId="740D01B1" w14:textId="678B5E06" w:rsidR="008F1F7D" w:rsidRPr="008F1F7D" w:rsidRDefault="008F1F7D" w:rsidP="00FA6001">
      <w:pPr>
        <w:spacing w:after="0" w:line="360" w:lineRule="auto"/>
        <w:ind w:left="-450"/>
        <w:jc w:val="both"/>
        <w:rPr>
          <w:rFonts w:asciiTheme="majorBidi" w:hAnsiTheme="majorBidi" w:cstheme="majorBidi"/>
          <w:b/>
          <w:bCs/>
          <w:color w:val="000000"/>
          <w:sz w:val="24"/>
          <w:szCs w:val="24"/>
        </w:rPr>
      </w:pPr>
      <w:r w:rsidRPr="008F1F7D">
        <w:rPr>
          <w:rFonts w:asciiTheme="majorBidi" w:hAnsiTheme="majorBidi" w:cstheme="majorBidi"/>
          <w:b/>
          <w:bCs/>
          <w:color w:val="000000"/>
          <w:sz w:val="24"/>
          <w:szCs w:val="24"/>
        </w:rPr>
        <w:t>2.</w:t>
      </w:r>
      <w:r w:rsidR="000C0E99">
        <w:rPr>
          <w:rFonts w:asciiTheme="majorBidi" w:hAnsiTheme="majorBidi" w:cstheme="majorBidi" w:hint="cs"/>
          <w:b/>
          <w:bCs/>
          <w:color w:val="000000"/>
          <w:sz w:val="24"/>
          <w:szCs w:val="24"/>
          <w:rtl/>
        </w:rPr>
        <w:t>7</w:t>
      </w:r>
      <w:r w:rsidRPr="008F1F7D">
        <w:rPr>
          <w:rFonts w:asciiTheme="majorBidi" w:hAnsiTheme="majorBidi" w:cstheme="majorBidi"/>
          <w:b/>
          <w:bCs/>
          <w:color w:val="000000"/>
          <w:sz w:val="24"/>
          <w:szCs w:val="24"/>
        </w:rPr>
        <w:t>.</w:t>
      </w:r>
      <w:r w:rsidRPr="008F1F7D">
        <w:rPr>
          <w:b/>
          <w:bCs/>
        </w:rPr>
        <w:t xml:space="preserve"> </w:t>
      </w:r>
      <w:r w:rsidRPr="008F1F7D">
        <w:rPr>
          <w:rFonts w:asciiTheme="majorBidi" w:hAnsiTheme="majorBidi" w:cstheme="majorBidi"/>
          <w:b/>
          <w:bCs/>
          <w:color w:val="000000"/>
          <w:sz w:val="24"/>
          <w:szCs w:val="24"/>
        </w:rPr>
        <w:t>Tumor necrosis factor alpha (TNF-α) and interleukin-6 (IL-6)</w:t>
      </w:r>
    </w:p>
    <w:p w14:paraId="5C9C5D02" w14:textId="73430689" w:rsidR="0049131D" w:rsidRPr="0049131D" w:rsidRDefault="008F1F7D" w:rsidP="00FA6001">
      <w:pPr>
        <w:spacing w:after="0" w:line="360" w:lineRule="auto"/>
        <w:ind w:left="-450"/>
        <w:jc w:val="both"/>
        <w:rPr>
          <w:rFonts w:asciiTheme="majorBidi" w:hAnsiTheme="majorBidi" w:cstheme="majorBidi"/>
          <w:color w:val="000000"/>
          <w:sz w:val="24"/>
          <w:szCs w:val="24"/>
        </w:rPr>
      </w:pPr>
      <w:r w:rsidRPr="008F1F7D">
        <w:rPr>
          <w:rFonts w:asciiTheme="majorBidi" w:hAnsiTheme="majorBidi" w:cstheme="majorBidi"/>
          <w:color w:val="000000"/>
          <w:sz w:val="24"/>
          <w:szCs w:val="24"/>
        </w:rPr>
        <w:t>Both</w:t>
      </w:r>
      <w:r w:rsidRPr="008F1F7D">
        <w:t xml:space="preserve"> </w:t>
      </w:r>
      <w:r w:rsidRPr="008F1F7D">
        <w:rPr>
          <w:rFonts w:asciiTheme="majorBidi" w:hAnsiTheme="majorBidi" w:cstheme="majorBidi"/>
          <w:color w:val="000000"/>
          <w:sz w:val="24"/>
          <w:szCs w:val="24"/>
        </w:rPr>
        <w:t>TNF-α and IL-6 levels were assessed in the liver homogenate using ELISA commercial Kit</w:t>
      </w:r>
      <w:r>
        <w:rPr>
          <w:rFonts w:asciiTheme="majorBidi" w:hAnsiTheme="majorBidi" w:cstheme="majorBidi"/>
          <w:color w:val="000000"/>
          <w:sz w:val="24"/>
          <w:szCs w:val="24"/>
        </w:rPr>
        <w:t>.</w:t>
      </w:r>
      <w:r w:rsidRPr="008F1F7D">
        <w:t xml:space="preserve"> </w:t>
      </w:r>
      <w:r w:rsidRPr="008F1F7D">
        <w:rPr>
          <w:rFonts w:asciiTheme="majorBidi" w:hAnsiTheme="majorBidi" w:cstheme="majorBidi"/>
          <w:color w:val="000000"/>
          <w:sz w:val="24"/>
          <w:szCs w:val="24"/>
        </w:rPr>
        <w:t>The analysis was done according to the manufacturer’s protocol</w:t>
      </w:r>
      <w:r w:rsidR="00554EC0">
        <w:rPr>
          <w:rFonts w:asciiTheme="majorBidi" w:hAnsiTheme="majorBidi" w:cstheme="majorBidi" w:hint="cs"/>
          <w:color w:val="000000"/>
          <w:sz w:val="24"/>
          <w:szCs w:val="24"/>
          <w:rtl/>
        </w:rPr>
        <w:t>.</w:t>
      </w:r>
    </w:p>
    <w:p w14:paraId="1CC16D6C" w14:textId="51AEC251" w:rsidR="00B87EEC" w:rsidRPr="00B87EEC" w:rsidRDefault="00B87EEC" w:rsidP="00FA6001">
      <w:pPr>
        <w:spacing w:line="360" w:lineRule="auto"/>
        <w:ind w:left="-450"/>
        <w:jc w:val="both"/>
        <w:rPr>
          <w:rFonts w:asciiTheme="majorBidi" w:hAnsiTheme="majorBidi" w:cstheme="majorBidi"/>
          <w:b/>
          <w:bCs/>
          <w:sz w:val="24"/>
          <w:szCs w:val="24"/>
        </w:rPr>
      </w:pPr>
      <w:r w:rsidRPr="00B87EEC">
        <w:rPr>
          <w:rFonts w:asciiTheme="majorBidi" w:hAnsiTheme="majorBidi" w:cstheme="majorBidi"/>
          <w:b/>
          <w:bCs/>
          <w:sz w:val="24"/>
          <w:szCs w:val="24"/>
        </w:rPr>
        <w:t>2.</w:t>
      </w:r>
      <w:r w:rsidR="000C0E99">
        <w:rPr>
          <w:rFonts w:asciiTheme="majorBidi" w:hAnsiTheme="majorBidi" w:cstheme="majorBidi" w:hint="cs"/>
          <w:b/>
          <w:bCs/>
          <w:sz w:val="24"/>
          <w:szCs w:val="24"/>
          <w:rtl/>
        </w:rPr>
        <w:t>8</w:t>
      </w:r>
      <w:r w:rsidRPr="00B87EEC">
        <w:rPr>
          <w:rFonts w:asciiTheme="majorBidi" w:hAnsiTheme="majorBidi" w:cstheme="majorBidi"/>
          <w:b/>
          <w:bCs/>
          <w:sz w:val="24"/>
          <w:szCs w:val="24"/>
        </w:rPr>
        <w:t>. Statistical Analysis</w:t>
      </w:r>
    </w:p>
    <w:p w14:paraId="381EC127" w14:textId="4B1B0A91" w:rsidR="006E2422" w:rsidRDefault="00B87EEC" w:rsidP="00FA6001">
      <w:pPr>
        <w:spacing w:line="360" w:lineRule="auto"/>
        <w:ind w:left="-450"/>
        <w:jc w:val="both"/>
        <w:rPr>
          <w:rFonts w:asciiTheme="majorBidi" w:eastAsia="Times New Roman" w:hAnsiTheme="majorBidi" w:cstheme="majorBidi"/>
          <w:color w:val="181818"/>
          <w:sz w:val="24"/>
          <w:szCs w:val="24"/>
        </w:rPr>
      </w:pPr>
      <w:r w:rsidRPr="00B87EEC">
        <w:rPr>
          <w:rFonts w:asciiTheme="majorBidi" w:eastAsia="Times New Roman" w:hAnsiTheme="majorBidi" w:cstheme="majorBidi"/>
          <w:color w:val="181818"/>
          <w:sz w:val="24"/>
          <w:szCs w:val="24"/>
        </w:rPr>
        <w:t>all data were tested for normality and homogeneity. Then, one-way analysis of variance used to determine the statistical significance of differences among groups followed by Duncan's test as post hoc for making a multiple comparison using the Statistical Package for Social science Software (Version 25, SPSS Inc., Chicago, IL, USA). The values were expressed as the mean ± standard error of the mean. A significant difference was used at ≤ 0.05 probability level.</w:t>
      </w:r>
    </w:p>
    <w:p w14:paraId="6771286D" w14:textId="7B28CFEF" w:rsidR="008F1F7D" w:rsidRDefault="008F1F7D" w:rsidP="00FA6001">
      <w:pPr>
        <w:spacing w:line="360" w:lineRule="auto"/>
        <w:ind w:left="-450"/>
        <w:jc w:val="both"/>
        <w:rPr>
          <w:rFonts w:asciiTheme="majorBidi" w:eastAsia="Times New Roman" w:hAnsiTheme="majorBidi" w:cstheme="majorBidi"/>
          <w:color w:val="181818"/>
          <w:sz w:val="24"/>
          <w:szCs w:val="24"/>
        </w:rPr>
      </w:pPr>
    </w:p>
    <w:p w14:paraId="67BE0B11" w14:textId="00BB8623" w:rsidR="008F1F7D" w:rsidRDefault="008F1F7D" w:rsidP="00FA6001">
      <w:pPr>
        <w:spacing w:line="360" w:lineRule="auto"/>
        <w:ind w:left="-450"/>
        <w:jc w:val="both"/>
        <w:rPr>
          <w:rFonts w:asciiTheme="majorBidi" w:eastAsia="Times New Roman" w:hAnsiTheme="majorBidi" w:cstheme="majorBidi"/>
          <w:color w:val="181818"/>
          <w:sz w:val="24"/>
          <w:szCs w:val="24"/>
        </w:rPr>
      </w:pPr>
    </w:p>
    <w:p w14:paraId="3515A2F7" w14:textId="1A19A4B1" w:rsidR="008F1F7D" w:rsidRDefault="008F1F7D" w:rsidP="00FA6001">
      <w:pPr>
        <w:spacing w:line="360" w:lineRule="auto"/>
        <w:ind w:left="-450"/>
        <w:jc w:val="both"/>
        <w:rPr>
          <w:rFonts w:asciiTheme="majorBidi" w:eastAsia="Times New Roman" w:hAnsiTheme="majorBidi" w:cstheme="majorBidi"/>
          <w:color w:val="181818"/>
          <w:sz w:val="24"/>
          <w:szCs w:val="24"/>
        </w:rPr>
      </w:pPr>
    </w:p>
    <w:p w14:paraId="64CFD9CD" w14:textId="38617E16" w:rsidR="008F1F7D" w:rsidRDefault="008F1F7D" w:rsidP="00FA6001">
      <w:pPr>
        <w:spacing w:line="360" w:lineRule="auto"/>
        <w:ind w:left="-450"/>
        <w:jc w:val="both"/>
        <w:rPr>
          <w:rFonts w:asciiTheme="majorBidi" w:eastAsia="Times New Roman" w:hAnsiTheme="majorBidi" w:cstheme="majorBidi"/>
          <w:color w:val="181818"/>
          <w:sz w:val="24"/>
          <w:szCs w:val="24"/>
          <w:rtl/>
        </w:rPr>
      </w:pPr>
    </w:p>
    <w:p w14:paraId="0F2ED19C" w14:textId="122C0951" w:rsidR="000C0E99" w:rsidRDefault="000C0E99" w:rsidP="00FA6001">
      <w:pPr>
        <w:spacing w:line="360" w:lineRule="auto"/>
        <w:ind w:left="-450"/>
        <w:jc w:val="both"/>
        <w:rPr>
          <w:rFonts w:asciiTheme="majorBidi" w:eastAsia="Times New Roman" w:hAnsiTheme="majorBidi" w:cstheme="majorBidi"/>
          <w:color w:val="181818"/>
          <w:sz w:val="24"/>
          <w:szCs w:val="24"/>
          <w:rtl/>
        </w:rPr>
      </w:pPr>
    </w:p>
    <w:p w14:paraId="3E6E3261" w14:textId="248F97CB" w:rsidR="000C0E99" w:rsidRDefault="000C0E99" w:rsidP="00FA6001">
      <w:pPr>
        <w:spacing w:line="360" w:lineRule="auto"/>
        <w:ind w:left="-450"/>
        <w:jc w:val="both"/>
        <w:rPr>
          <w:rFonts w:asciiTheme="majorBidi" w:eastAsia="Times New Roman" w:hAnsiTheme="majorBidi" w:cstheme="majorBidi"/>
          <w:color w:val="181818"/>
          <w:sz w:val="24"/>
          <w:szCs w:val="24"/>
          <w:rtl/>
        </w:rPr>
      </w:pPr>
    </w:p>
    <w:p w14:paraId="0A93A025" w14:textId="76AB3576" w:rsidR="000C0E99" w:rsidRDefault="000C0E99" w:rsidP="00FA6001">
      <w:pPr>
        <w:spacing w:line="360" w:lineRule="auto"/>
        <w:ind w:left="-450"/>
        <w:jc w:val="both"/>
        <w:rPr>
          <w:rFonts w:asciiTheme="majorBidi" w:eastAsia="Times New Roman" w:hAnsiTheme="majorBidi" w:cstheme="majorBidi"/>
          <w:color w:val="181818"/>
          <w:sz w:val="24"/>
          <w:szCs w:val="24"/>
        </w:rPr>
      </w:pPr>
    </w:p>
    <w:p w14:paraId="212EDFE3" w14:textId="77777777" w:rsidR="00EB0411" w:rsidRDefault="00EB0411" w:rsidP="00FA6001">
      <w:pPr>
        <w:spacing w:line="360" w:lineRule="auto"/>
        <w:ind w:left="-450"/>
        <w:jc w:val="both"/>
        <w:rPr>
          <w:rFonts w:asciiTheme="majorBidi" w:eastAsia="Times New Roman" w:hAnsiTheme="majorBidi" w:cstheme="majorBidi"/>
          <w:color w:val="181818"/>
          <w:sz w:val="24"/>
          <w:szCs w:val="24"/>
        </w:rPr>
      </w:pPr>
    </w:p>
    <w:p w14:paraId="18ADF0A8" w14:textId="1E4FD039" w:rsidR="002F301B" w:rsidRDefault="006E2422" w:rsidP="00FA6001">
      <w:pPr>
        <w:spacing w:line="360" w:lineRule="auto"/>
        <w:ind w:left="-450"/>
        <w:jc w:val="both"/>
        <w:rPr>
          <w:rFonts w:asciiTheme="majorBidi" w:eastAsia="Times New Roman" w:hAnsiTheme="majorBidi" w:cstheme="majorBidi"/>
          <w:b/>
          <w:bCs/>
          <w:color w:val="181818"/>
          <w:sz w:val="24"/>
          <w:szCs w:val="24"/>
        </w:rPr>
      </w:pPr>
      <w:r w:rsidRPr="006E2422">
        <w:rPr>
          <w:rFonts w:asciiTheme="majorBidi" w:eastAsia="Times New Roman" w:hAnsiTheme="majorBidi" w:cstheme="majorBidi"/>
          <w:b/>
          <w:bCs/>
          <w:color w:val="181818"/>
          <w:sz w:val="24"/>
          <w:szCs w:val="24"/>
        </w:rPr>
        <w:lastRenderedPageBreak/>
        <w:t>3. Results</w:t>
      </w:r>
    </w:p>
    <w:p w14:paraId="045EBA0C" w14:textId="77777777" w:rsidR="00EB0411" w:rsidRDefault="00EB0411" w:rsidP="00EB0411">
      <w:pPr>
        <w:spacing w:line="360" w:lineRule="auto"/>
        <w:ind w:left="-450"/>
        <w:jc w:val="both"/>
        <w:rPr>
          <w:rFonts w:asciiTheme="majorBidi" w:eastAsia="Times New Roman" w:hAnsiTheme="majorBidi" w:cstheme="majorBidi"/>
          <w:b/>
          <w:bCs/>
          <w:color w:val="181818"/>
          <w:sz w:val="24"/>
          <w:szCs w:val="24"/>
        </w:rPr>
      </w:pPr>
      <w:r>
        <w:rPr>
          <w:rFonts w:asciiTheme="majorBidi" w:eastAsia="Times New Roman" w:hAnsiTheme="majorBidi" w:cstheme="majorBidi"/>
          <w:b/>
          <w:bCs/>
          <w:color w:val="181818"/>
          <w:sz w:val="24"/>
          <w:szCs w:val="24"/>
        </w:rPr>
        <w:t>3</w:t>
      </w:r>
      <w:r w:rsidRPr="00F73BF4">
        <w:rPr>
          <w:rFonts w:asciiTheme="majorBidi" w:eastAsia="Times New Roman" w:hAnsiTheme="majorBidi" w:cstheme="majorBidi"/>
          <w:b/>
          <w:bCs/>
          <w:color w:val="181818"/>
          <w:sz w:val="24"/>
          <w:szCs w:val="24"/>
        </w:rPr>
        <w:t>.2.</w:t>
      </w:r>
      <w:r w:rsidRPr="00F73BF4">
        <w:rPr>
          <w:rFonts w:asciiTheme="majorBidi" w:hAnsiTheme="majorBidi" w:cstheme="majorBidi"/>
          <w:b/>
          <w:bCs/>
          <w:sz w:val="24"/>
          <w:szCs w:val="24"/>
        </w:rPr>
        <w:t xml:space="preserve"> Effect on </w:t>
      </w:r>
      <w:r w:rsidRPr="00F73BF4">
        <w:rPr>
          <w:rFonts w:asciiTheme="majorBidi" w:eastAsia="Times New Roman" w:hAnsiTheme="majorBidi" w:cstheme="majorBidi"/>
          <w:b/>
          <w:bCs/>
          <w:color w:val="181818"/>
          <w:sz w:val="24"/>
          <w:szCs w:val="24"/>
        </w:rPr>
        <w:t>hematological parameters</w:t>
      </w:r>
    </w:p>
    <w:p w14:paraId="411423F8" w14:textId="77777777" w:rsidR="00EB0411" w:rsidRDefault="00EB0411" w:rsidP="00EB0411">
      <w:pPr>
        <w:spacing w:line="360" w:lineRule="auto"/>
        <w:ind w:left="-450"/>
        <w:jc w:val="both"/>
        <w:rPr>
          <w:rFonts w:asciiTheme="majorBidi" w:eastAsia="Times New Roman" w:hAnsiTheme="majorBidi" w:cstheme="majorBidi"/>
          <w:b/>
          <w:bCs/>
          <w:color w:val="181818"/>
          <w:sz w:val="24"/>
          <w:szCs w:val="24"/>
        </w:rPr>
      </w:pPr>
      <w:r w:rsidRPr="00A22391">
        <w:rPr>
          <w:rFonts w:asciiTheme="majorBidi" w:eastAsia="Times New Roman" w:hAnsiTheme="majorBidi" w:cstheme="majorBidi"/>
          <w:color w:val="181818"/>
          <w:sz w:val="24"/>
          <w:szCs w:val="24"/>
        </w:rPr>
        <w:t>The present investigation indicated no significant variations in hematological indices (</w:t>
      </w:r>
      <w:r w:rsidRPr="00A22391">
        <w:rPr>
          <w:rFonts w:ascii="Times New Roman" w:hAnsi="Times New Roman" w:cs="Times New Roman"/>
          <w:color w:val="000000" w:themeColor="text1"/>
          <w:sz w:val="24"/>
          <w:szCs w:val="24"/>
        </w:rPr>
        <w:t>RBCs, Hb, and WBCs</w:t>
      </w:r>
      <w:r w:rsidRPr="00A22391">
        <w:rPr>
          <w:rFonts w:asciiTheme="majorBidi" w:eastAsia="Times New Roman" w:hAnsiTheme="majorBidi" w:cstheme="majorBidi"/>
          <w:color w:val="181818"/>
          <w:sz w:val="24"/>
          <w:szCs w:val="24"/>
        </w:rPr>
        <w:t xml:space="preserve">) of rats exposed to Fipronil (FPN) and/or Potassium dichromate (K2Cr2O7) for 28 days and have been presented in </w:t>
      </w:r>
      <w:r w:rsidRPr="00A22391">
        <w:rPr>
          <w:rFonts w:asciiTheme="majorBidi" w:eastAsia="Times New Roman" w:hAnsiTheme="majorBidi" w:cstheme="majorBidi"/>
          <w:b/>
          <w:bCs/>
          <w:color w:val="181818"/>
          <w:sz w:val="24"/>
          <w:szCs w:val="24"/>
        </w:rPr>
        <w:t>Table 1</w:t>
      </w:r>
      <w:r>
        <w:rPr>
          <w:rFonts w:asciiTheme="majorBidi" w:eastAsia="Times New Roman" w:hAnsiTheme="majorBidi" w:cstheme="majorBidi"/>
          <w:b/>
          <w:bCs/>
          <w:color w:val="181818"/>
          <w:sz w:val="24"/>
          <w:szCs w:val="24"/>
        </w:rPr>
        <w:t xml:space="preserve"> </w:t>
      </w:r>
      <w:r>
        <w:rPr>
          <w:rFonts w:asciiTheme="majorBidi" w:eastAsia="Times New Roman" w:hAnsiTheme="majorBidi" w:cstheme="majorBidi"/>
          <w:color w:val="181818"/>
          <w:sz w:val="24"/>
          <w:szCs w:val="24"/>
        </w:rPr>
        <w:t xml:space="preserve">and </w:t>
      </w:r>
      <w:r w:rsidRPr="00030E90">
        <w:rPr>
          <w:rFonts w:asciiTheme="majorBidi" w:eastAsia="Times New Roman" w:hAnsiTheme="majorBidi" w:cstheme="majorBidi"/>
          <w:b/>
          <w:bCs/>
          <w:color w:val="181818"/>
          <w:sz w:val="24"/>
          <w:szCs w:val="24"/>
        </w:rPr>
        <w:t>figure</w:t>
      </w:r>
      <w:r>
        <w:rPr>
          <w:rFonts w:asciiTheme="majorBidi" w:eastAsia="Times New Roman" w:hAnsiTheme="majorBidi" w:cstheme="majorBidi"/>
          <w:color w:val="181818"/>
          <w:sz w:val="24"/>
          <w:szCs w:val="24"/>
        </w:rPr>
        <w:t xml:space="preserve"> </w:t>
      </w:r>
      <w:r w:rsidRPr="00EA3390">
        <w:rPr>
          <w:rFonts w:asciiTheme="majorBidi" w:eastAsia="Times New Roman" w:hAnsiTheme="majorBidi" w:cstheme="majorBidi"/>
          <w:b/>
          <w:bCs/>
          <w:color w:val="181818"/>
          <w:sz w:val="24"/>
          <w:szCs w:val="24"/>
        </w:rPr>
        <w:t>(1-3).</w:t>
      </w:r>
    </w:p>
    <w:p w14:paraId="3CB4B11E" w14:textId="77777777" w:rsidR="00EB0411" w:rsidRDefault="00EB0411" w:rsidP="00EB0411">
      <w:pPr>
        <w:autoSpaceDE w:val="0"/>
        <w:autoSpaceDN w:val="0"/>
        <w:adjustRightInd w:val="0"/>
        <w:spacing w:after="0" w:line="360" w:lineRule="auto"/>
        <w:ind w:left="-450"/>
        <w:jc w:val="both"/>
        <w:rPr>
          <w:rFonts w:ascii="Times New Roman" w:hAnsi="Times New Roman" w:cs="Times New Roman"/>
          <w:color w:val="000000" w:themeColor="text1"/>
          <w:sz w:val="24"/>
          <w:szCs w:val="24"/>
        </w:rPr>
      </w:pPr>
      <w:r w:rsidRPr="005A65D7">
        <w:rPr>
          <w:rFonts w:ascii="Times New Roman" w:hAnsi="Times New Roman" w:cs="Times New Roman"/>
          <w:b/>
          <w:bCs/>
          <w:color w:val="000000" w:themeColor="text1"/>
          <w:sz w:val="24"/>
          <w:szCs w:val="24"/>
        </w:rPr>
        <w:t>Table (1):</w:t>
      </w:r>
      <w:r w:rsidRPr="005A65D7">
        <w:rPr>
          <w:rFonts w:ascii="Times New Roman" w:hAnsi="Times New Roman" w:cs="Times New Roman"/>
          <w:color w:val="000000" w:themeColor="text1"/>
          <w:sz w:val="24"/>
          <w:szCs w:val="24"/>
        </w:rPr>
        <w:t xml:space="preserve"> Effect of </w:t>
      </w:r>
      <w:r w:rsidRPr="009C266D">
        <w:rPr>
          <w:rFonts w:ascii="Times New Roman" w:hAnsi="Times New Roman" w:cs="Times New Roman"/>
          <w:color w:val="000000" w:themeColor="text1"/>
          <w:sz w:val="24"/>
          <w:szCs w:val="24"/>
        </w:rPr>
        <w:t xml:space="preserve">Fipronil (FPN) and Potassium dichromate (K2Cr2O7) </w:t>
      </w:r>
      <w:r w:rsidRPr="005A65D7">
        <w:rPr>
          <w:rFonts w:ascii="Times New Roman" w:hAnsi="Times New Roman" w:cs="Times New Roman"/>
          <w:color w:val="000000" w:themeColor="text1"/>
          <w:sz w:val="24"/>
          <w:szCs w:val="24"/>
        </w:rPr>
        <w:t>and their combinations on hematological parameters.</w:t>
      </w:r>
      <w:r>
        <w:rPr>
          <w:rFonts w:ascii="Times New Roman" w:hAnsi="Times New Roman" w:cs="Times New Roman"/>
          <w:color w:val="000000" w:themeColor="text1"/>
          <w:sz w:val="24"/>
          <w:szCs w:val="24"/>
        </w:rPr>
        <w:t xml:space="preserve"> </w:t>
      </w:r>
      <w:r w:rsidRPr="005A65D7">
        <w:rPr>
          <w:rFonts w:ascii="Times New Roman" w:hAnsi="Times New Roman" w:cs="Times New Roman"/>
          <w:color w:val="000000" w:themeColor="text1"/>
          <w:sz w:val="24"/>
          <w:szCs w:val="24"/>
        </w:rPr>
        <w:t>Data are expressed as the mean</w:t>
      </w:r>
      <w:r>
        <w:rPr>
          <w:rFonts w:ascii="Times New Roman" w:hAnsi="Times New Roman" w:cs="Times New Roman"/>
          <w:color w:val="000000" w:themeColor="text1"/>
          <w:sz w:val="24"/>
          <w:szCs w:val="24"/>
        </w:rPr>
        <w:t xml:space="preserve"> </w:t>
      </w:r>
      <w:r w:rsidRPr="005A65D7">
        <w:rPr>
          <w:rFonts w:ascii="Times New Roman" w:eastAsia="STIX-Regular" w:hAnsi="Times New Roman" w:cs="Times New Roman"/>
          <w:color w:val="000000" w:themeColor="text1"/>
          <w:sz w:val="24"/>
          <w:szCs w:val="24"/>
        </w:rPr>
        <w:t>±</w:t>
      </w:r>
      <w:r>
        <w:rPr>
          <w:rFonts w:ascii="Times New Roman" w:eastAsia="STIX-Regular" w:hAnsi="Times New Roman" w:cs="Times New Roman"/>
          <w:color w:val="000000" w:themeColor="text1"/>
          <w:sz w:val="24"/>
          <w:szCs w:val="24"/>
        </w:rPr>
        <w:t xml:space="preserve"> </w:t>
      </w:r>
      <w:r w:rsidRPr="005A65D7">
        <w:rPr>
          <w:rFonts w:ascii="Times New Roman" w:hAnsi="Times New Roman" w:cs="Times New Roman"/>
          <w:color w:val="000000" w:themeColor="text1"/>
          <w:sz w:val="24"/>
          <w:szCs w:val="24"/>
        </w:rPr>
        <w:t>SE (n=</w:t>
      </w:r>
      <w:r>
        <w:rPr>
          <w:rFonts w:ascii="Times New Roman" w:hAnsi="Times New Roman" w:cs="Times New Roman"/>
          <w:color w:val="000000" w:themeColor="text1"/>
          <w:sz w:val="24"/>
          <w:szCs w:val="24"/>
        </w:rPr>
        <w:t>5</w:t>
      </w:r>
      <w:r w:rsidRPr="005A65D7">
        <w:rPr>
          <w:rFonts w:ascii="Times New Roman" w:hAnsi="Times New Roman" w:cs="Times New Roman"/>
          <w:color w:val="000000" w:themeColor="text1"/>
          <w:sz w:val="24"/>
          <w:szCs w:val="24"/>
        </w:rPr>
        <w:t>). Different superscript</w:t>
      </w:r>
      <w:r>
        <w:rPr>
          <w:rFonts w:ascii="Times New Roman" w:hAnsi="Times New Roman" w:cs="Times New Roman"/>
          <w:color w:val="000000" w:themeColor="text1"/>
          <w:sz w:val="24"/>
          <w:szCs w:val="24"/>
        </w:rPr>
        <w:t xml:space="preserve"> </w:t>
      </w:r>
      <w:r w:rsidRPr="005A65D7">
        <w:rPr>
          <w:rFonts w:ascii="Times New Roman" w:hAnsi="Times New Roman" w:cs="Times New Roman"/>
          <w:color w:val="000000" w:themeColor="text1"/>
          <w:sz w:val="24"/>
          <w:szCs w:val="24"/>
        </w:rPr>
        <w:t>letters in the same row indicate statistical significance at P</w:t>
      </w:r>
      <w:r w:rsidRPr="005A65D7">
        <w:rPr>
          <w:rFonts w:ascii="Times New Roman" w:eastAsia="STIX-Regular" w:hAnsi="Times New Roman" w:cs="Times New Roman"/>
          <w:color w:val="000000" w:themeColor="text1"/>
          <w:sz w:val="24"/>
          <w:szCs w:val="24"/>
        </w:rPr>
        <w:t>≤</w:t>
      </w:r>
      <w:r w:rsidRPr="005A65D7">
        <w:rPr>
          <w:rFonts w:ascii="Times New Roman" w:hAnsi="Times New Roman" w:cs="Times New Roman"/>
          <w:color w:val="000000" w:themeColor="text1"/>
          <w:sz w:val="24"/>
          <w:szCs w:val="24"/>
        </w:rPr>
        <w:t>0.05.</w:t>
      </w:r>
    </w:p>
    <w:p w14:paraId="230695DA" w14:textId="77777777" w:rsidR="00EB0411" w:rsidRPr="005A65D7" w:rsidRDefault="00EB0411" w:rsidP="00EB0411">
      <w:pPr>
        <w:autoSpaceDE w:val="0"/>
        <w:autoSpaceDN w:val="0"/>
        <w:adjustRightInd w:val="0"/>
        <w:spacing w:after="0" w:line="360" w:lineRule="auto"/>
        <w:jc w:val="both"/>
        <w:rPr>
          <w:rFonts w:ascii="Times New Roman" w:hAnsi="Times New Roman" w:cs="Times New Roman"/>
          <w:color w:val="000000" w:themeColor="text1"/>
          <w:sz w:val="24"/>
          <w:szCs w:val="24"/>
        </w:rPr>
      </w:pPr>
    </w:p>
    <w:tbl>
      <w:tblPr>
        <w:tblStyle w:val="PlainTable2"/>
        <w:bidiVisual/>
        <w:tblW w:w="11235" w:type="dxa"/>
        <w:jc w:val="center"/>
        <w:tblLook w:val="04A0" w:firstRow="1" w:lastRow="0" w:firstColumn="1" w:lastColumn="0" w:noHBand="0" w:noVBand="1"/>
      </w:tblPr>
      <w:tblGrid>
        <w:gridCol w:w="2272"/>
        <w:gridCol w:w="1837"/>
        <w:gridCol w:w="1537"/>
        <w:gridCol w:w="1817"/>
        <w:gridCol w:w="1768"/>
        <w:gridCol w:w="2004"/>
      </w:tblGrid>
      <w:tr w:rsidR="00EB0411" w:rsidRPr="005A65D7" w14:paraId="579F1F4E" w14:textId="77777777" w:rsidTr="00B6605D">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9231" w:type="dxa"/>
            <w:gridSpan w:val="5"/>
          </w:tcPr>
          <w:p w14:paraId="4EAF8FDB" w14:textId="77777777" w:rsidR="00EB0411" w:rsidRPr="00C80BE7" w:rsidRDefault="00EB0411" w:rsidP="00EB0411">
            <w:pPr>
              <w:spacing w:line="360" w:lineRule="auto"/>
              <w:ind w:left="-450"/>
              <w:jc w:val="center"/>
              <w:rPr>
                <w:rFonts w:ascii="Times New Roman" w:hAnsi="Times New Roman" w:cs="Times New Roman"/>
                <w:b w:val="0"/>
                <w:bCs w:val="0"/>
                <w:color w:val="000000" w:themeColor="text1"/>
                <w:sz w:val="24"/>
                <w:szCs w:val="24"/>
                <w:lang w:bidi="ar-EG"/>
              </w:rPr>
            </w:pPr>
            <w:r w:rsidRPr="00984438">
              <w:rPr>
                <w:rFonts w:ascii="Times New Roman" w:hAnsi="Times New Roman" w:cs="Times New Roman"/>
                <w:color w:val="000000" w:themeColor="text1"/>
                <w:sz w:val="24"/>
                <w:szCs w:val="24"/>
                <w:lang w:bidi="ar-EG"/>
              </w:rPr>
              <w:t>Experimental groups</w:t>
            </w:r>
          </w:p>
        </w:tc>
        <w:tc>
          <w:tcPr>
            <w:tcW w:w="2004" w:type="dxa"/>
            <w:vMerge w:val="restart"/>
          </w:tcPr>
          <w:p w14:paraId="402E9F39" w14:textId="77777777" w:rsidR="00EB0411" w:rsidRPr="00C80BE7" w:rsidRDefault="00EB0411" w:rsidP="00EB0411">
            <w:pPr>
              <w:spacing w:line="360" w:lineRule="auto"/>
              <w:ind w:left="-4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bidi="ar-EG"/>
              </w:rPr>
            </w:pPr>
            <w:r w:rsidRPr="00C80BE7">
              <w:rPr>
                <w:rFonts w:ascii="Times New Roman" w:hAnsi="Times New Roman" w:cs="Times New Roman"/>
                <w:color w:val="000000" w:themeColor="text1"/>
                <w:sz w:val="24"/>
                <w:szCs w:val="24"/>
                <w:lang w:bidi="ar-EG"/>
              </w:rPr>
              <w:t>Parameters</w:t>
            </w:r>
          </w:p>
        </w:tc>
      </w:tr>
      <w:tr w:rsidR="00EB0411" w:rsidRPr="005A65D7" w14:paraId="0CADA8E5" w14:textId="77777777" w:rsidTr="00B6605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272" w:type="dxa"/>
          </w:tcPr>
          <w:p w14:paraId="0E80C5C3" w14:textId="77777777" w:rsidR="00EB0411" w:rsidRPr="00C80BE7" w:rsidRDefault="00EB0411" w:rsidP="00EB0411">
            <w:pPr>
              <w:spacing w:line="360" w:lineRule="auto"/>
              <w:ind w:left="-450"/>
              <w:jc w:val="center"/>
              <w:rPr>
                <w:rFonts w:ascii="Times New Roman" w:hAnsi="Times New Roman" w:cs="Times New Roman"/>
                <w:b w:val="0"/>
                <w:bCs w:val="0"/>
                <w:color w:val="000000" w:themeColor="text1"/>
                <w:sz w:val="24"/>
                <w:szCs w:val="24"/>
                <w:rtl/>
                <w:lang w:bidi="ar-EG"/>
              </w:rPr>
            </w:pPr>
            <w:r w:rsidRPr="009C266D">
              <w:rPr>
                <w:rFonts w:ascii="Times New Roman" w:hAnsi="Times New Roman" w:cs="Times New Roman"/>
                <w:color w:val="000000" w:themeColor="text1"/>
                <w:sz w:val="24"/>
                <w:szCs w:val="24"/>
                <w:lang w:bidi="ar-EG"/>
              </w:rPr>
              <w:t xml:space="preserve">FPN </w:t>
            </w:r>
            <w:r w:rsidRPr="00C80BE7">
              <w:rPr>
                <w:rFonts w:ascii="Times New Roman" w:hAnsi="Times New Roman" w:cs="Times New Roman"/>
                <w:color w:val="000000" w:themeColor="text1"/>
                <w:sz w:val="24"/>
                <w:szCs w:val="24"/>
                <w:lang w:bidi="ar-EG"/>
              </w:rPr>
              <w:t>+</w:t>
            </w:r>
            <w:r>
              <w:t xml:space="preserve"> </w:t>
            </w:r>
            <w:r w:rsidRPr="009C266D">
              <w:rPr>
                <w:rFonts w:ascii="Times New Roman" w:hAnsi="Times New Roman" w:cs="Times New Roman"/>
                <w:color w:val="000000" w:themeColor="text1"/>
                <w:sz w:val="24"/>
                <w:szCs w:val="24"/>
                <w:lang w:bidi="ar-EG"/>
              </w:rPr>
              <w:t>K2Cr2O7</w:t>
            </w:r>
          </w:p>
        </w:tc>
        <w:tc>
          <w:tcPr>
            <w:tcW w:w="1837" w:type="dxa"/>
          </w:tcPr>
          <w:p w14:paraId="7D2F75D2" w14:textId="77777777" w:rsidR="00EB0411"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bidi="ar-EG"/>
              </w:rPr>
            </w:pPr>
            <w:r w:rsidRPr="009C266D">
              <w:rPr>
                <w:rFonts w:ascii="Times New Roman" w:hAnsi="Times New Roman" w:cs="Times New Roman"/>
                <w:b/>
                <w:bCs/>
                <w:color w:val="000000" w:themeColor="text1"/>
                <w:sz w:val="24"/>
                <w:szCs w:val="24"/>
                <w:lang w:bidi="ar-EG"/>
              </w:rPr>
              <w:t>K2Cr2O7</w:t>
            </w:r>
          </w:p>
          <w:p w14:paraId="20C7EB08" w14:textId="77777777" w:rsidR="00EB0411" w:rsidRPr="009C266D"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tl/>
                <w:lang w:bidi="ar-EG"/>
              </w:rPr>
            </w:pPr>
          </w:p>
        </w:tc>
        <w:tc>
          <w:tcPr>
            <w:tcW w:w="1537" w:type="dxa"/>
          </w:tcPr>
          <w:p w14:paraId="3090618E" w14:textId="77777777" w:rsidR="00EB0411"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lang w:bidi="ar-EG"/>
              </w:rPr>
              <w:t>FPN</w:t>
            </w:r>
          </w:p>
          <w:p w14:paraId="2DFB61A6" w14:textId="77777777" w:rsidR="00EB0411" w:rsidRPr="00C80BE7"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tl/>
                <w:lang w:bidi="ar-EG"/>
              </w:rPr>
            </w:pPr>
          </w:p>
        </w:tc>
        <w:tc>
          <w:tcPr>
            <w:tcW w:w="1817" w:type="dxa"/>
          </w:tcPr>
          <w:p w14:paraId="1FDDE7B6" w14:textId="77777777" w:rsidR="00EB0411"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lang w:bidi="ar-EG"/>
              </w:rPr>
              <w:t>Control</w:t>
            </w:r>
          </w:p>
          <w:p w14:paraId="1F0EF2C2" w14:textId="77777777" w:rsidR="00EB0411" w:rsidRPr="00C80BE7"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lang w:bidi="ar-EG"/>
              </w:rPr>
              <w:t>Corn oil</w:t>
            </w:r>
          </w:p>
        </w:tc>
        <w:tc>
          <w:tcPr>
            <w:tcW w:w="1768" w:type="dxa"/>
          </w:tcPr>
          <w:p w14:paraId="1B83B473" w14:textId="77777777" w:rsidR="00EB0411" w:rsidRPr="00C80BE7"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tl/>
                <w:lang w:bidi="ar-EG"/>
              </w:rPr>
            </w:pPr>
            <w:r w:rsidRPr="00C80BE7">
              <w:rPr>
                <w:rFonts w:ascii="Times New Roman" w:hAnsi="Times New Roman" w:cs="Times New Roman"/>
                <w:b/>
                <w:bCs/>
                <w:color w:val="000000" w:themeColor="text1"/>
                <w:sz w:val="24"/>
                <w:szCs w:val="24"/>
                <w:lang w:bidi="ar-EG"/>
              </w:rPr>
              <w:t>Control</w:t>
            </w:r>
          </w:p>
        </w:tc>
        <w:tc>
          <w:tcPr>
            <w:tcW w:w="2004" w:type="dxa"/>
            <w:vMerge/>
          </w:tcPr>
          <w:p w14:paraId="26AE6D8E" w14:textId="77777777" w:rsidR="00EB0411" w:rsidRPr="00C80BE7"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tl/>
                <w:lang w:bidi="ar-EG"/>
              </w:rPr>
            </w:pPr>
          </w:p>
        </w:tc>
      </w:tr>
      <w:tr w:rsidR="00EB0411" w:rsidRPr="005A65D7" w14:paraId="19D132EA" w14:textId="77777777" w:rsidTr="00B6605D">
        <w:trPr>
          <w:trHeight w:val="265"/>
          <w:jc w:val="center"/>
        </w:trPr>
        <w:tc>
          <w:tcPr>
            <w:cnfStyle w:val="001000000000" w:firstRow="0" w:lastRow="0" w:firstColumn="1" w:lastColumn="0" w:oddVBand="0" w:evenVBand="0" w:oddHBand="0" w:evenHBand="0" w:firstRowFirstColumn="0" w:firstRowLastColumn="0" w:lastRowFirstColumn="0" w:lastRowLastColumn="0"/>
            <w:tcW w:w="2272" w:type="dxa"/>
          </w:tcPr>
          <w:p w14:paraId="7D351787" w14:textId="77777777" w:rsidR="00EB0411" w:rsidRPr="00EB0411" w:rsidRDefault="00EB0411" w:rsidP="00EB0411">
            <w:pPr>
              <w:spacing w:line="360" w:lineRule="auto"/>
              <w:ind w:left="-450"/>
              <w:jc w:val="right"/>
              <w:rPr>
                <w:rFonts w:ascii="Times New Roman" w:hAnsi="Times New Roman" w:cs="Times New Roman"/>
                <w:b w:val="0"/>
                <w:bCs w:val="0"/>
                <w:color w:val="000000" w:themeColor="text1"/>
                <w:sz w:val="24"/>
                <w:szCs w:val="24"/>
                <w:rtl/>
              </w:rPr>
            </w:pPr>
            <w:r w:rsidRPr="00EB0411">
              <w:rPr>
                <w:rFonts w:ascii="Times New Roman" w:hAnsi="Times New Roman" w:cs="Times New Roman"/>
                <w:b w:val="0"/>
                <w:bCs w:val="0"/>
                <w:color w:val="000000" w:themeColor="text1"/>
                <w:sz w:val="24"/>
                <w:szCs w:val="24"/>
              </w:rPr>
              <w:t>8.36 ± 0.42 a</w:t>
            </w:r>
          </w:p>
        </w:tc>
        <w:tc>
          <w:tcPr>
            <w:tcW w:w="1837" w:type="dxa"/>
          </w:tcPr>
          <w:p w14:paraId="78D49B0A" w14:textId="77777777" w:rsidR="00EB0411" w:rsidRPr="005A65D7" w:rsidRDefault="00EB0411" w:rsidP="00EB0411">
            <w:pPr>
              <w:spacing w:line="360" w:lineRule="auto"/>
              <w:ind w:left="-4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tl/>
              </w:rPr>
            </w:pPr>
            <w:r w:rsidRPr="00650659">
              <w:rPr>
                <w:rFonts w:ascii="Times New Roman" w:hAnsi="Times New Roman" w:cs="Times New Roman"/>
                <w:color w:val="000000" w:themeColor="text1"/>
                <w:sz w:val="24"/>
                <w:szCs w:val="24"/>
              </w:rPr>
              <w:t>8.37 ±0.33 a</w:t>
            </w:r>
          </w:p>
        </w:tc>
        <w:tc>
          <w:tcPr>
            <w:tcW w:w="1537" w:type="dxa"/>
          </w:tcPr>
          <w:p w14:paraId="0F4CB85C" w14:textId="77777777" w:rsidR="00EB0411" w:rsidRPr="005A65D7" w:rsidRDefault="00EB0411" w:rsidP="00EB0411">
            <w:pPr>
              <w:spacing w:line="360" w:lineRule="auto"/>
              <w:ind w:left="-4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tl/>
              </w:rPr>
            </w:pPr>
            <w:r w:rsidRPr="00650659">
              <w:rPr>
                <w:rFonts w:ascii="Times New Roman" w:hAnsi="Times New Roman" w:cs="Times New Roman"/>
                <w:color w:val="000000" w:themeColor="text1"/>
                <w:sz w:val="24"/>
                <w:szCs w:val="24"/>
              </w:rPr>
              <w:t>8.45 ±</w:t>
            </w:r>
            <w:r>
              <w:rPr>
                <w:rFonts w:ascii="Times New Roman" w:hAnsi="Times New Roman" w:cs="Times New Roman"/>
                <w:color w:val="000000" w:themeColor="text1"/>
                <w:sz w:val="24"/>
                <w:szCs w:val="24"/>
              </w:rPr>
              <w:t xml:space="preserve"> </w:t>
            </w:r>
            <w:r w:rsidRPr="00650659">
              <w:rPr>
                <w:rFonts w:ascii="Times New Roman" w:hAnsi="Times New Roman" w:cs="Times New Roman"/>
                <w:color w:val="000000" w:themeColor="text1"/>
                <w:sz w:val="24"/>
                <w:szCs w:val="24"/>
              </w:rPr>
              <w:t>0.22 a</w:t>
            </w:r>
          </w:p>
        </w:tc>
        <w:tc>
          <w:tcPr>
            <w:tcW w:w="1817" w:type="dxa"/>
          </w:tcPr>
          <w:p w14:paraId="0D49604A" w14:textId="77777777" w:rsidR="00EB0411" w:rsidRPr="005A65D7" w:rsidRDefault="00EB0411" w:rsidP="00EB0411">
            <w:pPr>
              <w:spacing w:line="360" w:lineRule="auto"/>
              <w:ind w:left="-4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50659">
              <w:rPr>
                <w:rFonts w:ascii="Times New Roman" w:hAnsi="Times New Roman" w:cs="Times New Roman"/>
                <w:color w:val="000000" w:themeColor="text1"/>
                <w:sz w:val="24"/>
                <w:szCs w:val="24"/>
              </w:rPr>
              <w:t>9.04 ±</w:t>
            </w:r>
            <w:r>
              <w:rPr>
                <w:rFonts w:ascii="Times New Roman" w:hAnsi="Times New Roman" w:cs="Times New Roman"/>
                <w:color w:val="000000" w:themeColor="text1"/>
                <w:sz w:val="24"/>
                <w:szCs w:val="24"/>
              </w:rPr>
              <w:t xml:space="preserve"> </w:t>
            </w:r>
            <w:r w:rsidRPr="00650659">
              <w:rPr>
                <w:rFonts w:ascii="Times New Roman" w:hAnsi="Times New Roman" w:cs="Times New Roman"/>
                <w:color w:val="000000" w:themeColor="text1"/>
                <w:sz w:val="24"/>
                <w:szCs w:val="24"/>
              </w:rPr>
              <w:t>0.54 a</w:t>
            </w:r>
          </w:p>
        </w:tc>
        <w:tc>
          <w:tcPr>
            <w:tcW w:w="1768" w:type="dxa"/>
          </w:tcPr>
          <w:p w14:paraId="52FFB991" w14:textId="77777777" w:rsidR="00EB0411" w:rsidRPr="005A65D7" w:rsidRDefault="00EB0411" w:rsidP="00EB0411">
            <w:pPr>
              <w:spacing w:line="360" w:lineRule="auto"/>
              <w:ind w:left="-4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tl/>
              </w:rPr>
            </w:pPr>
            <w:r w:rsidRPr="00650659">
              <w:rPr>
                <w:rFonts w:ascii="Times New Roman" w:hAnsi="Times New Roman" w:cs="Times New Roman"/>
                <w:color w:val="000000" w:themeColor="text1"/>
                <w:sz w:val="24"/>
                <w:szCs w:val="24"/>
              </w:rPr>
              <w:t>9.52 ±</w:t>
            </w:r>
            <w:r>
              <w:rPr>
                <w:rFonts w:ascii="Times New Roman" w:hAnsi="Times New Roman" w:cs="Times New Roman"/>
                <w:color w:val="000000" w:themeColor="text1"/>
                <w:sz w:val="24"/>
                <w:szCs w:val="24"/>
              </w:rPr>
              <w:t xml:space="preserve"> </w:t>
            </w:r>
            <w:r w:rsidRPr="00650659">
              <w:rPr>
                <w:rFonts w:ascii="Times New Roman" w:hAnsi="Times New Roman" w:cs="Times New Roman"/>
                <w:color w:val="000000" w:themeColor="text1"/>
                <w:sz w:val="24"/>
                <w:szCs w:val="24"/>
              </w:rPr>
              <w:t>0.86 a</w:t>
            </w:r>
          </w:p>
        </w:tc>
        <w:tc>
          <w:tcPr>
            <w:tcW w:w="2004" w:type="dxa"/>
          </w:tcPr>
          <w:p w14:paraId="377EE2D7" w14:textId="17E88229" w:rsidR="00EB0411" w:rsidRPr="00C80BE7" w:rsidRDefault="00EB0411" w:rsidP="00EB0411">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lang w:bidi="ar-EG"/>
              </w:rPr>
              <w:t xml:space="preserve">     </w:t>
            </w:r>
            <w:r w:rsidRPr="00C80BE7">
              <w:rPr>
                <w:rFonts w:ascii="Times New Roman" w:hAnsi="Times New Roman" w:cs="Times New Roman"/>
                <w:b/>
                <w:bCs/>
                <w:color w:val="000000" w:themeColor="text1"/>
                <w:sz w:val="24"/>
                <w:szCs w:val="24"/>
                <w:lang w:bidi="ar-EG"/>
              </w:rPr>
              <w:t>RBCs</w:t>
            </w:r>
            <w:r>
              <w:rPr>
                <w:rFonts w:ascii="Times New Roman" w:hAnsi="Times New Roman" w:cs="Times New Roman"/>
                <w:b/>
                <w:bCs/>
                <w:color w:val="000000" w:themeColor="text1"/>
                <w:sz w:val="24"/>
                <w:szCs w:val="24"/>
                <w:lang w:bidi="ar-EG"/>
              </w:rPr>
              <w:t xml:space="preserve"> (</w:t>
            </w:r>
            <w:r w:rsidRPr="00650659">
              <w:rPr>
                <w:rFonts w:ascii="Times New Roman" w:hAnsi="Times New Roman" w:cs="Times New Roman"/>
                <w:b/>
                <w:bCs/>
                <w:color w:val="000000" w:themeColor="text1"/>
                <w:sz w:val="24"/>
                <w:szCs w:val="24"/>
                <w:lang w:bidi="ar-EG"/>
              </w:rPr>
              <w:t>106/</w:t>
            </w:r>
            <w:proofErr w:type="spellStart"/>
            <w:r w:rsidRPr="00650659">
              <w:rPr>
                <w:rFonts w:ascii="Times New Roman" w:hAnsi="Times New Roman" w:cs="Times New Roman"/>
                <w:b/>
                <w:bCs/>
                <w:color w:val="000000" w:themeColor="text1"/>
                <w:sz w:val="24"/>
                <w:szCs w:val="24"/>
                <w:lang w:bidi="ar-EG"/>
              </w:rPr>
              <w:t>cmm</w:t>
            </w:r>
            <w:proofErr w:type="spellEnd"/>
            <w:r>
              <w:rPr>
                <w:rFonts w:ascii="Times New Roman" w:hAnsi="Times New Roman" w:cs="Times New Roman"/>
                <w:b/>
                <w:bCs/>
                <w:color w:val="000000" w:themeColor="text1"/>
                <w:sz w:val="24"/>
                <w:szCs w:val="24"/>
                <w:lang w:bidi="ar-EG"/>
              </w:rPr>
              <w:t>)</w:t>
            </w:r>
          </w:p>
        </w:tc>
      </w:tr>
      <w:tr w:rsidR="00EB0411" w:rsidRPr="005A65D7" w14:paraId="045D280E" w14:textId="77777777" w:rsidTr="00B6605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272" w:type="dxa"/>
          </w:tcPr>
          <w:p w14:paraId="099B0890" w14:textId="77777777" w:rsidR="00EB0411" w:rsidRPr="00EB0411" w:rsidRDefault="00EB0411" w:rsidP="00EB0411">
            <w:pPr>
              <w:spacing w:line="360" w:lineRule="auto"/>
              <w:ind w:left="-450"/>
              <w:jc w:val="right"/>
              <w:rPr>
                <w:rFonts w:ascii="Times New Roman" w:hAnsi="Times New Roman" w:cs="Times New Roman"/>
                <w:b w:val="0"/>
                <w:bCs w:val="0"/>
                <w:color w:val="000000" w:themeColor="text1"/>
                <w:sz w:val="24"/>
                <w:szCs w:val="24"/>
                <w:rtl/>
              </w:rPr>
            </w:pPr>
            <w:r w:rsidRPr="00EB0411">
              <w:rPr>
                <w:rFonts w:ascii="Times New Roman" w:hAnsi="Times New Roman" w:cs="Times New Roman"/>
                <w:b w:val="0"/>
                <w:bCs w:val="0"/>
                <w:color w:val="000000" w:themeColor="text1"/>
                <w:sz w:val="24"/>
                <w:szCs w:val="24"/>
              </w:rPr>
              <w:t>9.47 ± 1.13 a</w:t>
            </w:r>
          </w:p>
        </w:tc>
        <w:tc>
          <w:tcPr>
            <w:tcW w:w="1837" w:type="dxa"/>
          </w:tcPr>
          <w:p w14:paraId="1BA42FB7" w14:textId="77777777" w:rsidR="00EB0411" w:rsidRPr="005A65D7" w:rsidRDefault="00EB0411" w:rsidP="00EB0411">
            <w:pPr>
              <w:spacing w:line="360" w:lineRule="auto"/>
              <w:ind w:left="-45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tl/>
              </w:rPr>
            </w:pPr>
            <w:r w:rsidRPr="00EE394D">
              <w:rPr>
                <w:rFonts w:ascii="Times New Roman" w:hAnsi="Times New Roman" w:cs="Times New Roman"/>
                <w:color w:val="000000" w:themeColor="text1"/>
                <w:sz w:val="24"/>
                <w:szCs w:val="24"/>
              </w:rPr>
              <w:t>8.02 ±</w:t>
            </w:r>
            <w:r>
              <w:rPr>
                <w:rFonts w:ascii="Times New Roman" w:hAnsi="Times New Roman" w:cs="Times New Roman"/>
                <w:color w:val="000000" w:themeColor="text1"/>
                <w:sz w:val="24"/>
                <w:szCs w:val="24"/>
              </w:rPr>
              <w:t xml:space="preserve"> </w:t>
            </w:r>
            <w:r w:rsidRPr="00EE394D">
              <w:rPr>
                <w:rFonts w:ascii="Times New Roman" w:hAnsi="Times New Roman" w:cs="Times New Roman"/>
                <w:color w:val="000000" w:themeColor="text1"/>
                <w:sz w:val="24"/>
                <w:szCs w:val="24"/>
              </w:rPr>
              <w:t>0.84 a</w:t>
            </w:r>
          </w:p>
        </w:tc>
        <w:tc>
          <w:tcPr>
            <w:tcW w:w="1537" w:type="dxa"/>
          </w:tcPr>
          <w:p w14:paraId="04C74A30" w14:textId="77777777" w:rsidR="00EB0411" w:rsidRPr="005A65D7" w:rsidRDefault="00EB0411" w:rsidP="00EB0411">
            <w:pPr>
              <w:spacing w:line="360" w:lineRule="auto"/>
              <w:ind w:left="-45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tl/>
              </w:rPr>
            </w:pPr>
            <w:r w:rsidRPr="00EE394D">
              <w:rPr>
                <w:rFonts w:ascii="Times New Roman" w:hAnsi="Times New Roman" w:cs="Times New Roman"/>
                <w:color w:val="000000" w:themeColor="text1"/>
                <w:sz w:val="24"/>
                <w:szCs w:val="24"/>
              </w:rPr>
              <w:t>8.10 ±</w:t>
            </w:r>
            <w:r>
              <w:rPr>
                <w:rFonts w:ascii="Times New Roman" w:hAnsi="Times New Roman" w:cs="Times New Roman"/>
                <w:color w:val="000000" w:themeColor="text1"/>
                <w:sz w:val="24"/>
                <w:szCs w:val="24"/>
              </w:rPr>
              <w:t xml:space="preserve"> </w:t>
            </w:r>
            <w:r w:rsidRPr="00EE394D">
              <w:rPr>
                <w:rFonts w:ascii="Times New Roman" w:hAnsi="Times New Roman" w:cs="Times New Roman"/>
                <w:color w:val="000000" w:themeColor="text1"/>
                <w:sz w:val="24"/>
                <w:szCs w:val="24"/>
              </w:rPr>
              <w:t>0.68 a</w:t>
            </w:r>
          </w:p>
        </w:tc>
        <w:tc>
          <w:tcPr>
            <w:tcW w:w="1817" w:type="dxa"/>
          </w:tcPr>
          <w:p w14:paraId="6C75CA95" w14:textId="77777777" w:rsidR="00EB0411" w:rsidRPr="005A65D7" w:rsidRDefault="00EB0411" w:rsidP="00EB0411">
            <w:pPr>
              <w:spacing w:line="360" w:lineRule="auto"/>
              <w:ind w:left="-45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tl/>
                <w:lang w:bidi="ar-EG"/>
              </w:rPr>
            </w:pPr>
            <w:r w:rsidRPr="00EE394D">
              <w:rPr>
                <w:rFonts w:ascii="Times New Roman" w:hAnsi="Times New Roman" w:cs="Times New Roman"/>
                <w:color w:val="000000" w:themeColor="text1"/>
                <w:sz w:val="24"/>
                <w:szCs w:val="24"/>
              </w:rPr>
              <w:t>11.35 ± 2.08 a</w:t>
            </w:r>
          </w:p>
        </w:tc>
        <w:tc>
          <w:tcPr>
            <w:tcW w:w="1768" w:type="dxa"/>
          </w:tcPr>
          <w:p w14:paraId="7DE9AA57" w14:textId="77777777" w:rsidR="00EB0411" w:rsidRPr="005A65D7" w:rsidRDefault="00EB0411" w:rsidP="00EB0411">
            <w:pPr>
              <w:spacing w:line="360" w:lineRule="auto"/>
              <w:ind w:left="-45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tl/>
              </w:rPr>
            </w:pPr>
            <w:r w:rsidRPr="00EE394D">
              <w:rPr>
                <w:rFonts w:ascii="Times New Roman" w:hAnsi="Times New Roman" w:cs="Times New Roman"/>
                <w:color w:val="000000" w:themeColor="text1"/>
                <w:sz w:val="24"/>
                <w:szCs w:val="24"/>
              </w:rPr>
              <w:t>9.90 ±</w:t>
            </w:r>
            <w:r>
              <w:rPr>
                <w:rFonts w:ascii="Times New Roman" w:hAnsi="Times New Roman" w:cs="Times New Roman"/>
                <w:color w:val="000000" w:themeColor="text1"/>
                <w:sz w:val="24"/>
                <w:szCs w:val="24"/>
              </w:rPr>
              <w:t xml:space="preserve"> </w:t>
            </w:r>
            <w:r w:rsidRPr="00EE394D">
              <w:rPr>
                <w:rFonts w:ascii="Times New Roman" w:hAnsi="Times New Roman" w:cs="Times New Roman"/>
                <w:color w:val="000000" w:themeColor="text1"/>
                <w:sz w:val="24"/>
                <w:szCs w:val="24"/>
              </w:rPr>
              <w:t>1.46 a</w:t>
            </w:r>
          </w:p>
        </w:tc>
        <w:tc>
          <w:tcPr>
            <w:tcW w:w="2004" w:type="dxa"/>
          </w:tcPr>
          <w:p w14:paraId="0838C152" w14:textId="77777777" w:rsidR="00EB0411" w:rsidRPr="00C80BE7" w:rsidRDefault="00EB0411" w:rsidP="00EB0411">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tl/>
                <w:lang w:bidi="ar-EG"/>
              </w:rPr>
            </w:pPr>
            <w:r w:rsidRPr="00C80BE7">
              <w:rPr>
                <w:rFonts w:ascii="Times New Roman" w:hAnsi="Times New Roman" w:cs="Times New Roman"/>
                <w:b/>
                <w:bCs/>
                <w:color w:val="000000" w:themeColor="text1"/>
                <w:sz w:val="24"/>
                <w:szCs w:val="24"/>
                <w:lang w:bidi="ar-EG"/>
              </w:rPr>
              <w:t>WBCs</w:t>
            </w:r>
            <w:r>
              <w:rPr>
                <w:rFonts w:ascii="Times New Roman" w:hAnsi="Times New Roman" w:cs="Times New Roman"/>
                <w:b/>
                <w:bCs/>
                <w:color w:val="000000" w:themeColor="text1"/>
                <w:sz w:val="24"/>
                <w:szCs w:val="24"/>
                <w:lang w:bidi="ar-EG"/>
              </w:rPr>
              <w:t xml:space="preserve"> </w:t>
            </w:r>
            <w:r w:rsidRPr="00C80BE7">
              <w:rPr>
                <w:rFonts w:ascii="Times New Roman" w:hAnsi="Times New Roman" w:cs="Times New Roman"/>
                <w:b/>
                <w:bCs/>
                <w:color w:val="000000" w:themeColor="text1"/>
                <w:sz w:val="24"/>
                <w:szCs w:val="24"/>
                <w:lang w:bidi="ar-EG"/>
              </w:rPr>
              <w:t>(10</w:t>
            </w:r>
            <w:r w:rsidRPr="00C80BE7">
              <w:rPr>
                <w:rFonts w:ascii="Times New Roman" w:hAnsi="Times New Roman" w:cs="Times New Roman"/>
                <w:b/>
                <w:bCs/>
                <w:color w:val="000000" w:themeColor="text1"/>
                <w:sz w:val="24"/>
                <w:szCs w:val="24"/>
                <w:vertAlign w:val="superscript"/>
                <w:lang w:bidi="ar-EG"/>
              </w:rPr>
              <w:t>9</w:t>
            </w:r>
            <w:r w:rsidRPr="00C80BE7">
              <w:rPr>
                <w:rFonts w:ascii="Times New Roman" w:hAnsi="Times New Roman" w:cs="Times New Roman"/>
                <w:b/>
                <w:bCs/>
                <w:color w:val="000000" w:themeColor="text1"/>
                <w:sz w:val="24"/>
                <w:szCs w:val="24"/>
                <w:lang w:bidi="ar-EG"/>
              </w:rPr>
              <w:t>/L)</w:t>
            </w:r>
          </w:p>
        </w:tc>
      </w:tr>
      <w:tr w:rsidR="00EB0411" w:rsidRPr="005A65D7" w14:paraId="69F29AE8" w14:textId="77777777" w:rsidTr="00B6605D">
        <w:trPr>
          <w:trHeight w:val="440"/>
          <w:jc w:val="center"/>
        </w:trPr>
        <w:tc>
          <w:tcPr>
            <w:cnfStyle w:val="001000000000" w:firstRow="0" w:lastRow="0" w:firstColumn="1" w:lastColumn="0" w:oddVBand="0" w:evenVBand="0" w:oddHBand="0" w:evenHBand="0" w:firstRowFirstColumn="0" w:firstRowLastColumn="0" w:lastRowFirstColumn="0" w:lastRowLastColumn="0"/>
            <w:tcW w:w="2272" w:type="dxa"/>
          </w:tcPr>
          <w:p w14:paraId="04D65C95" w14:textId="77777777" w:rsidR="00EB0411" w:rsidRPr="00EB0411" w:rsidRDefault="00EB0411" w:rsidP="00EB0411">
            <w:pPr>
              <w:spacing w:line="360" w:lineRule="auto"/>
              <w:ind w:left="-450"/>
              <w:jc w:val="right"/>
              <w:rPr>
                <w:rFonts w:ascii="Times New Roman" w:hAnsi="Times New Roman" w:cs="Times New Roman"/>
                <w:b w:val="0"/>
                <w:bCs w:val="0"/>
                <w:color w:val="000000" w:themeColor="text1"/>
                <w:sz w:val="24"/>
                <w:szCs w:val="24"/>
                <w:rtl/>
                <w:lang w:bidi="ar-EG"/>
              </w:rPr>
            </w:pPr>
            <w:r w:rsidRPr="00EB0411">
              <w:rPr>
                <w:rFonts w:ascii="Times New Roman" w:hAnsi="Times New Roman" w:cs="Times New Roman"/>
                <w:b w:val="0"/>
                <w:bCs w:val="0"/>
                <w:color w:val="000000" w:themeColor="text1"/>
                <w:sz w:val="24"/>
                <w:szCs w:val="24"/>
              </w:rPr>
              <w:t>13.41 ± 0.41 a</w:t>
            </w:r>
          </w:p>
        </w:tc>
        <w:tc>
          <w:tcPr>
            <w:tcW w:w="1837" w:type="dxa"/>
          </w:tcPr>
          <w:p w14:paraId="2EAA7C26" w14:textId="77777777" w:rsidR="00EB0411" w:rsidRPr="005A65D7" w:rsidRDefault="00EB0411" w:rsidP="00EB0411">
            <w:pPr>
              <w:spacing w:line="360" w:lineRule="auto"/>
              <w:ind w:left="-4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tl/>
                <w:lang w:bidi="ar-EG"/>
              </w:rPr>
            </w:pPr>
            <w:r w:rsidRPr="00650659">
              <w:rPr>
                <w:rFonts w:ascii="Times New Roman" w:hAnsi="Times New Roman" w:cs="Times New Roman"/>
                <w:color w:val="000000" w:themeColor="text1"/>
                <w:sz w:val="24"/>
                <w:szCs w:val="24"/>
              </w:rPr>
              <w:t>13.73 ± 0.31 a</w:t>
            </w:r>
          </w:p>
        </w:tc>
        <w:tc>
          <w:tcPr>
            <w:tcW w:w="1537" w:type="dxa"/>
          </w:tcPr>
          <w:p w14:paraId="5D69843C" w14:textId="77777777" w:rsidR="00EB0411" w:rsidRPr="005A65D7" w:rsidRDefault="00EB0411" w:rsidP="00EB0411">
            <w:pPr>
              <w:spacing w:line="360" w:lineRule="auto"/>
              <w:ind w:left="-4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tl/>
                <w:lang w:bidi="ar-EG"/>
              </w:rPr>
            </w:pPr>
            <w:r w:rsidRPr="00650659">
              <w:rPr>
                <w:rFonts w:ascii="Times New Roman" w:hAnsi="Times New Roman" w:cs="Times New Roman"/>
                <w:color w:val="000000" w:themeColor="text1"/>
                <w:sz w:val="24"/>
                <w:szCs w:val="24"/>
              </w:rPr>
              <w:t>14.72 ± 0.43 a</w:t>
            </w:r>
          </w:p>
        </w:tc>
        <w:tc>
          <w:tcPr>
            <w:tcW w:w="1817" w:type="dxa"/>
          </w:tcPr>
          <w:p w14:paraId="3402E81C" w14:textId="77777777" w:rsidR="00EB0411" w:rsidRPr="005A65D7" w:rsidRDefault="00EB0411" w:rsidP="00EB0411">
            <w:pPr>
              <w:spacing w:line="360" w:lineRule="auto"/>
              <w:ind w:left="-4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tl/>
                <w:lang w:bidi="ar-EG"/>
              </w:rPr>
            </w:pPr>
            <w:r w:rsidRPr="00650659">
              <w:rPr>
                <w:rFonts w:ascii="Times New Roman" w:hAnsi="Times New Roman" w:cs="Times New Roman"/>
                <w:color w:val="000000" w:themeColor="text1"/>
                <w:sz w:val="24"/>
                <w:szCs w:val="24"/>
              </w:rPr>
              <w:t>15.32 ± 1.24 a</w:t>
            </w:r>
          </w:p>
        </w:tc>
        <w:tc>
          <w:tcPr>
            <w:tcW w:w="1768" w:type="dxa"/>
          </w:tcPr>
          <w:p w14:paraId="6E8F4CBE" w14:textId="77777777" w:rsidR="00EB0411" w:rsidRPr="005A65D7" w:rsidRDefault="00EB0411" w:rsidP="00EB0411">
            <w:pPr>
              <w:spacing w:line="360" w:lineRule="auto"/>
              <w:ind w:left="-4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tl/>
                <w:lang w:bidi="ar-EG"/>
              </w:rPr>
            </w:pPr>
            <w:r w:rsidRPr="00650659">
              <w:rPr>
                <w:rFonts w:ascii="Times New Roman" w:hAnsi="Times New Roman" w:cs="Times New Roman"/>
                <w:color w:val="000000" w:themeColor="text1"/>
                <w:sz w:val="24"/>
                <w:szCs w:val="24"/>
              </w:rPr>
              <w:t>13.48 ± 0.30 a</w:t>
            </w:r>
          </w:p>
        </w:tc>
        <w:tc>
          <w:tcPr>
            <w:tcW w:w="2004" w:type="dxa"/>
          </w:tcPr>
          <w:p w14:paraId="0A7FF54F" w14:textId="1DD63FB3" w:rsidR="00EB0411" w:rsidRPr="00C80BE7" w:rsidRDefault="00EB0411" w:rsidP="00EB0411">
            <w:pPr>
              <w:spacing w:line="360" w:lineRule="auto"/>
              <w:ind w:left="-4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lang w:bidi="ar-EG"/>
              </w:rPr>
              <w:t xml:space="preserve">       </w:t>
            </w:r>
            <w:r w:rsidRPr="00C80BE7">
              <w:rPr>
                <w:rFonts w:ascii="Times New Roman" w:hAnsi="Times New Roman" w:cs="Times New Roman"/>
                <w:b/>
                <w:bCs/>
                <w:color w:val="000000" w:themeColor="text1"/>
                <w:sz w:val="24"/>
                <w:szCs w:val="24"/>
                <w:lang w:bidi="ar-EG"/>
              </w:rPr>
              <w:t>Hb</w:t>
            </w:r>
            <w:r w:rsidRPr="00C80BE7">
              <w:rPr>
                <w:rFonts w:ascii="Times New Roman" w:hAnsi="Times New Roman" w:cs="Times New Roman"/>
                <w:b/>
                <w:bCs/>
                <w:color w:val="000000" w:themeColor="text1"/>
                <w:sz w:val="24"/>
                <w:szCs w:val="24"/>
              </w:rPr>
              <w:t>(g/dl)</w:t>
            </w:r>
          </w:p>
        </w:tc>
      </w:tr>
    </w:tbl>
    <w:p w14:paraId="38765314" w14:textId="77777777" w:rsidR="00EB0411" w:rsidRDefault="00EB0411" w:rsidP="00EB0411">
      <w:pPr>
        <w:spacing w:line="360" w:lineRule="auto"/>
        <w:ind w:left="-450"/>
        <w:jc w:val="both"/>
        <w:rPr>
          <w:rFonts w:asciiTheme="majorBidi" w:hAnsiTheme="majorBidi" w:cstheme="majorBidi"/>
          <w:sz w:val="24"/>
          <w:szCs w:val="24"/>
        </w:rPr>
      </w:pPr>
    </w:p>
    <w:p w14:paraId="1B2DB3DD" w14:textId="3FFF1931" w:rsidR="00EB0411" w:rsidRDefault="00EB0411" w:rsidP="00EB0411">
      <w:pPr>
        <w:spacing w:line="360" w:lineRule="auto"/>
        <w:ind w:left="-450"/>
        <w:jc w:val="both"/>
        <w:rPr>
          <w:rFonts w:asciiTheme="majorBidi" w:hAnsiTheme="majorBidi" w:cstheme="majorBidi"/>
          <w:sz w:val="24"/>
          <w:szCs w:val="24"/>
        </w:rPr>
      </w:pPr>
      <w:r w:rsidRPr="00EB0411">
        <w:rPr>
          <w:rFonts w:asciiTheme="majorBidi" w:hAnsiTheme="majorBidi" w:cstheme="majorBidi"/>
          <w:sz w:val="24"/>
          <w:szCs w:val="24"/>
        </w:rPr>
        <w:t xml:space="preserve">Fig. 1: total erythrocyte count of </w:t>
      </w:r>
      <w:proofErr w:type="spellStart"/>
      <w:r w:rsidRPr="00EB0411">
        <w:rPr>
          <w:rFonts w:asciiTheme="majorBidi" w:hAnsiTheme="majorBidi" w:cstheme="majorBidi"/>
          <w:sz w:val="24"/>
          <w:szCs w:val="24"/>
        </w:rPr>
        <w:t>wistar</w:t>
      </w:r>
      <w:proofErr w:type="spellEnd"/>
      <w:r w:rsidRPr="00EB0411">
        <w:rPr>
          <w:rFonts w:asciiTheme="majorBidi" w:hAnsiTheme="majorBidi" w:cstheme="majorBidi"/>
          <w:sz w:val="24"/>
          <w:szCs w:val="24"/>
        </w:rPr>
        <w:t xml:space="preserve"> rats following exposure to Fipronil (FPN) and/or Potassium dichromate (K2Cr2O7) for 28 days</w:t>
      </w:r>
    </w:p>
    <w:p w14:paraId="4359E93F" w14:textId="3050C6C5" w:rsidR="00EB0411" w:rsidRDefault="00EB0411" w:rsidP="00EB0411">
      <w:pPr>
        <w:spacing w:line="360" w:lineRule="auto"/>
        <w:ind w:left="-450"/>
        <w:jc w:val="center"/>
        <w:rPr>
          <w:rFonts w:asciiTheme="majorBidi" w:hAnsiTheme="majorBidi" w:cstheme="majorBidi"/>
          <w:sz w:val="24"/>
          <w:szCs w:val="24"/>
        </w:rPr>
      </w:pPr>
      <w:r>
        <w:rPr>
          <w:noProof/>
        </w:rPr>
        <w:drawing>
          <wp:inline distT="0" distB="0" distL="0" distR="0" wp14:anchorId="034A6CA4" wp14:editId="4318FA8D">
            <wp:extent cx="4181475" cy="2276475"/>
            <wp:effectExtent l="19050" t="1905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D501D5" w14:textId="77777777" w:rsidR="00EB0411" w:rsidRDefault="00EB0411" w:rsidP="00EB0411">
      <w:pPr>
        <w:spacing w:line="360" w:lineRule="auto"/>
        <w:rPr>
          <w:rFonts w:asciiTheme="majorBidi" w:hAnsiTheme="majorBidi" w:cstheme="majorBidi"/>
          <w:sz w:val="24"/>
          <w:szCs w:val="24"/>
          <w:lang w:bidi="ar-EG"/>
        </w:rPr>
      </w:pPr>
    </w:p>
    <w:p w14:paraId="5ACEBFEE" w14:textId="73159D8F" w:rsidR="00EB0411" w:rsidRDefault="00EB0411" w:rsidP="00EB0411">
      <w:pPr>
        <w:spacing w:line="360" w:lineRule="auto"/>
        <w:ind w:left="-450"/>
        <w:jc w:val="both"/>
        <w:rPr>
          <w:rFonts w:asciiTheme="majorBidi" w:hAnsiTheme="majorBidi" w:cstheme="majorBidi"/>
          <w:sz w:val="24"/>
          <w:szCs w:val="24"/>
          <w:lang w:bidi="ar-EG"/>
        </w:rPr>
      </w:pPr>
      <w:r w:rsidRPr="0084644D">
        <w:rPr>
          <w:rFonts w:asciiTheme="majorBidi" w:hAnsiTheme="majorBidi" w:cstheme="majorBidi"/>
          <w:sz w:val="24"/>
          <w:szCs w:val="24"/>
          <w:lang w:bidi="ar-EG"/>
        </w:rPr>
        <w:lastRenderedPageBreak/>
        <w:t xml:space="preserve">Fig. </w:t>
      </w:r>
      <w:r>
        <w:rPr>
          <w:rFonts w:asciiTheme="majorBidi" w:hAnsiTheme="majorBidi" w:cstheme="majorBidi"/>
          <w:sz w:val="24"/>
          <w:szCs w:val="24"/>
          <w:lang w:bidi="ar-EG"/>
        </w:rPr>
        <w:t>2</w:t>
      </w:r>
      <w:r w:rsidRPr="0084644D">
        <w:rPr>
          <w:rFonts w:asciiTheme="majorBidi" w:hAnsiTheme="majorBidi" w:cstheme="majorBidi"/>
          <w:sz w:val="24"/>
          <w:szCs w:val="24"/>
          <w:lang w:bidi="ar-EG"/>
        </w:rPr>
        <w:t xml:space="preserve">: </w:t>
      </w:r>
      <w:r w:rsidRPr="00B04F54">
        <w:rPr>
          <w:rFonts w:asciiTheme="majorBidi" w:hAnsiTheme="majorBidi" w:cstheme="majorBidi"/>
          <w:sz w:val="24"/>
          <w:szCs w:val="24"/>
          <w:lang w:bidi="ar-EG"/>
        </w:rPr>
        <w:t xml:space="preserve">total leucocyte count of </w:t>
      </w:r>
      <w:proofErr w:type="spellStart"/>
      <w:r w:rsidRPr="00B04F54">
        <w:rPr>
          <w:rFonts w:asciiTheme="majorBidi" w:hAnsiTheme="majorBidi" w:cstheme="majorBidi"/>
          <w:sz w:val="24"/>
          <w:szCs w:val="24"/>
          <w:lang w:bidi="ar-EG"/>
        </w:rPr>
        <w:t>wistar</w:t>
      </w:r>
      <w:proofErr w:type="spellEnd"/>
      <w:r w:rsidRPr="00B04F54">
        <w:rPr>
          <w:rFonts w:asciiTheme="majorBidi" w:hAnsiTheme="majorBidi" w:cstheme="majorBidi"/>
          <w:sz w:val="24"/>
          <w:szCs w:val="24"/>
          <w:lang w:bidi="ar-EG"/>
        </w:rPr>
        <w:t xml:space="preserve"> rats following exposure to Fipronil (FPN) and/or Potassium dichromate (K2Cr2O7) for 28 days</w:t>
      </w:r>
      <w:r>
        <w:rPr>
          <w:rFonts w:asciiTheme="majorBidi" w:hAnsiTheme="majorBidi" w:cstheme="majorBidi"/>
          <w:sz w:val="24"/>
          <w:szCs w:val="24"/>
          <w:lang w:bidi="ar-EG"/>
        </w:rPr>
        <w:t>.</w:t>
      </w:r>
    </w:p>
    <w:p w14:paraId="1F4A6060" w14:textId="77777777" w:rsidR="00EB0411" w:rsidRDefault="00EB0411" w:rsidP="00EB0411">
      <w:pPr>
        <w:spacing w:line="360" w:lineRule="auto"/>
        <w:ind w:left="-450"/>
        <w:jc w:val="both"/>
        <w:rPr>
          <w:rFonts w:asciiTheme="majorBidi" w:hAnsiTheme="majorBidi" w:cstheme="majorBidi"/>
          <w:sz w:val="24"/>
          <w:szCs w:val="24"/>
          <w:lang w:bidi="ar-EG"/>
        </w:rPr>
      </w:pPr>
    </w:p>
    <w:p w14:paraId="5967B4ED" w14:textId="6BC0B438" w:rsidR="00EB0411" w:rsidRDefault="00EB0411" w:rsidP="00EB0411">
      <w:pPr>
        <w:spacing w:line="360" w:lineRule="auto"/>
        <w:ind w:left="-450"/>
        <w:jc w:val="center"/>
        <w:rPr>
          <w:rFonts w:asciiTheme="majorBidi" w:hAnsiTheme="majorBidi" w:cstheme="majorBidi"/>
          <w:sz w:val="24"/>
          <w:szCs w:val="24"/>
          <w:lang w:bidi="ar-EG"/>
        </w:rPr>
      </w:pPr>
      <w:r>
        <w:rPr>
          <w:noProof/>
        </w:rPr>
        <w:drawing>
          <wp:inline distT="0" distB="0" distL="0" distR="0" wp14:anchorId="195D3823" wp14:editId="4077AA99">
            <wp:extent cx="4410075" cy="2524125"/>
            <wp:effectExtent l="19050" t="1905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F5D478" w14:textId="0E7CBF8B" w:rsidR="00EB0411" w:rsidRDefault="00EB0411" w:rsidP="00EB0411">
      <w:pPr>
        <w:spacing w:line="360" w:lineRule="auto"/>
        <w:ind w:left="-450"/>
        <w:jc w:val="center"/>
        <w:rPr>
          <w:rFonts w:asciiTheme="majorBidi" w:hAnsiTheme="majorBidi" w:cstheme="majorBidi"/>
          <w:sz w:val="24"/>
          <w:szCs w:val="24"/>
          <w:lang w:bidi="ar-EG"/>
        </w:rPr>
      </w:pPr>
    </w:p>
    <w:p w14:paraId="62CCF430" w14:textId="77777777" w:rsidR="00EB0411" w:rsidRDefault="00EB0411" w:rsidP="00EB0411">
      <w:pPr>
        <w:spacing w:line="360" w:lineRule="auto"/>
        <w:ind w:left="-450"/>
        <w:jc w:val="center"/>
        <w:rPr>
          <w:rFonts w:asciiTheme="majorBidi" w:hAnsiTheme="majorBidi" w:cstheme="majorBidi"/>
          <w:sz w:val="24"/>
          <w:szCs w:val="24"/>
          <w:lang w:bidi="ar-EG"/>
        </w:rPr>
      </w:pPr>
    </w:p>
    <w:p w14:paraId="4A68B19D" w14:textId="77777777" w:rsidR="00EB0411" w:rsidRPr="00793DC4" w:rsidRDefault="00EB0411" w:rsidP="00EB0411">
      <w:pPr>
        <w:spacing w:line="360" w:lineRule="auto"/>
        <w:ind w:left="-450"/>
        <w:jc w:val="both"/>
        <w:rPr>
          <w:rFonts w:asciiTheme="majorBidi" w:hAnsiTheme="majorBidi" w:cstheme="majorBidi"/>
          <w:sz w:val="24"/>
          <w:szCs w:val="24"/>
          <w:lang w:bidi="ar-EG"/>
        </w:rPr>
      </w:pPr>
      <w:r w:rsidRPr="0084644D">
        <w:rPr>
          <w:rFonts w:asciiTheme="majorBidi" w:hAnsiTheme="majorBidi" w:cstheme="majorBidi"/>
          <w:sz w:val="24"/>
          <w:szCs w:val="24"/>
          <w:lang w:bidi="ar-EG"/>
        </w:rPr>
        <w:t xml:space="preserve">Fig. </w:t>
      </w:r>
      <w:r>
        <w:rPr>
          <w:rFonts w:asciiTheme="majorBidi" w:hAnsiTheme="majorBidi" w:cstheme="majorBidi"/>
          <w:sz w:val="24"/>
          <w:szCs w:val="24"/>
          <w:lang w:bidi="ar-EG"/>
        </w:rPr>
        <w:t>3</w:t>
      </w:r>
      <w:r w:rsidRPr="0084644D">
        <w:rPr>
          <w:rFonts w:asciiTheme="majorBidi" w:hAnsiTheme="majorBidi" w:cstheme="majorBidi"/>
          <w:sz w:val="24"/>
          <w:szCs w:val="24"/>
          <w:lang w:bidi="ar-EG"/>
        </w:rPr>
        <w:t xml:space="preserve">: </w:t>
      </w:r>
      <w:r w:rsidRPr="00B04F54">
        <w:rPr>
          <w:rFonts w:asciiTheme="majorBidi" w:hAnsiTheme="majorBidi" w:cstheme="majorBidi"/>
          <w:sz w:val="24"/>
          <w:szCs w:val="24"/>
          <w:lang w:bidi="ar-EG"/>
        </w:rPr>
        <w:t xml:space="preserve">Changes in hemoglobin level of </w:t>
      </w:r>
      <w:proofErr w:type="spellStart"/>
      <w:r w:rsidRPr="00B04F54">
        <w:rPr>
          <w:rFonts w:asciiTheme="majorBidi" w:hAnsiTheme="majorBidi" w:cstheme="majorBidi"/>
          <w:sz w:val="24"/>
          <w:szCs w:val="24"/>
          <w:lang w:bidi="ar-EG"/>
        </w:rPr>
        <w:t>wistar</w:t>
      </w:r>
      <w:proofErr w:type="spellEnd"/>
      <w:r w:rsidRPr="00B04F54">
        <w:rPr>
          <w:rFonts w:asciiTheme="majorBidi" w:hAnsiTheme="majorBidi" w:cstheme="majorBidi"/>
          <w:sz w:val="24"/>
          <w:szCs w:val="24"/>
          <w:lang w:bidi="ar-EG"/>
        </w:rPr>
        <w:t xml:space="preserve"> rats following exposure to Fipronil (FPN) and/or Potassium dichromate (K2Cr2O7) for 28 days</w:t>
      </w:r>
    </w:p>
    <w:p w14:paraId="306ABED7" w14:textId="77777777" w:rsidR="00EB0411" w:rsidRDefault="00EB0411" w:rsidP="00EB0411">
      <w:pPr>
        <w:spacing w:line="360" w:lineRule="auto"/>
        <w:ind w:left="-450"/>
        <w:jc w:val="both"/>
        <w:rPr>
          <w:rFonts w:asciiTheme="majorBidi" w:hAnsiTheme="majorBidi" w:cstheme="majorBidi"/>
          <w:sz w:val="24"/>
          <w:szCs w:val="24"/>
          <w:lang w:bidi="ar-EG"/>
        </w:rPr>
      </w:pPr>
    </w:p>
    <w:p w14:paraId="18BF1C3E" w14:textId="5CA820A6" w:rsidR="00EB0411" w:rsidRPr="00EB0411" w:rsidRDefault="00EB0411" w:rsidP="00EB0411">
      <w:pPr>
        <w:spacing w:line="360" w:lineRule="auto"/>
        <w:ind w:left="-450"/>
        <w:jc w:val="center"/>
        <w:rPr>
          <w:rFonts w:asciiTheme="majorBidi" w:hAnsiTheme="majorBidi" w:cstheme="majorBidi"/>
          <w:sz w:val="24"/>
          <w:szCs w:val="24"/>
          <w:lang w:bidi="ar-EG"/>
        </w:rPr>
      </w:pPr>
      <w:r>
        <w:rPr>
          <w:noProof/>
        </w:rPr>
        <w:drawing>
          <wp:inline distT="0" distB="0" distL="0" distR="0" wp14:anchorId="200B0018" wp14:editId="29F5FAED">
            <wp:extent cx="4429125" cy="2476500"/>
            <wp:effectExtent l="19050" t="1905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3711B8" w14:textId="520463EC" w:rsidR="006E2422" w:rsidRPr="00EA3390" w:rsidRDefault="006E2422" w:rsidP="00FA6001">
      <w:pPr>
        <w:spacing w:line="360" w:lineRule="auto"/>
        <w:ind w:left="-450"/>
        <w:jc w:val="both"/>
        <w:rPr>
          <w:rFonts w:asciiTheme="majorBidi" w:eastAsia="Times New Roman" w:hAnsiTheme="majorBidi" w:cstheme="majorBidi"/>
          <w:b/>
          <w:bCs/>
          <w:color w:val="181818"/>
          <w:sz w:val="24"/>
          <w:szCs w:val="24"/>
          <w:rtl/>
        </w:rPr>
      </w:pPr>
      <w:r w:rsidRPr="00EA3390">
        <w:rPr>
          <w:rFonts w:asciiTheme="majorBidi" w:eastAsia="Times New Roman" w:hAnsiTheme="majorBidi" w:cstheme="majorBidi"/>
          <w:b/>
          <w:bCs/>
          <w:color w:val="181818"/>
          <w:sz w:val="24"/>
          <w:szCs w:val="24"/>
        </w:rPr>
        <w:lastRenderedPageBreak/>
        <w:t>3.</w:t>
      </w:r>
      <w:r w:rsidR="000C0E99">
        <w:rPr>
          <w:rFonts w:asciiTheme="majorBidi" w:eastAsia="Times New Roman" w:hAnsiTheme="majorBidi" w:cstheme="majorBidi" w:hint="cs"/>
          <w:b/>
          <w:bCs/>
          <w:color w:val="181818"/>
          <w:sz w:val="24"/>
          <w:szCs w:val="24"/>
          <w:rtl/>
        </w:rPr>
        <w:t>1</w:t>
      </w:r>
      <w:r w:rsidRPr="00EA3390">
        <w:rPr>
          <w:rFonts w:asciiTheme="majorBidi" w:eastAsia="Times New Roman" w:hAnsiTheme="majorBidi" w:cstheme="majorBidi"/>
          <w:b/>
          <w:bCs/>
          <w:color w:val="181818"/>
          <w:sz w:val="24"/>
          <w:szCs w:val="24"/>
        </w:rPr>
        <w:t>. Serum biochemical analysis</w:t>
      </w:r>
    </w:p>
    <w:p w14:paraId="5E4D48A4" w14:textId="21E99FA1" w:rsidR="008F1F7D" w:rsidRDefault="00030E90" w:rsidP="00FA6001">
      <w:pPr>
        <w:spacing w:line="360" w:lineRule="auto"/>
        <w:ind w:left="-450"/>
        <w:jc w:val="both"/>
        <w:rPr>
          <w:rFonts w:asciiTheme="majorBidi" w:eastAsia="Times New Roman" w:hAnsiTheme="majorBidi" w:cstheme="majorBidi"/>
          <w:color w:val="181818"/>
          <w:sz w:val="24"/>
          <w:szCs w:val="24"/>
        </w:rPr>
      </w:pPr>
      <w:r w:rsidRPr="00030E90">
        <w:rPr>
          <w:rFonts w:asciiTheme="majorBidi" w:eastAsia="Times New Roman" w:hAnsiTheme="majorBidi" w:cstheme="majorBidi"/>
          <w:color w:val="181818"/>
          <w:sz w:val="24"/>
          <w:szCs w:val="24"/>
        </w:rPr>
        <w:t xml:space="preserve">As shown in </w:t>
      </w:r>
      <w:r w:rsidRPr="00030E90">
        <w:rPr>
          <w:rFonts w:asciiTheme="majorBidi" w:eastAsia="Times New Roman" w:hAnsiTheme="majorBidi" w:cstheme="majorBidi"/>
          <w:b/>
          <w:bCs/>
          <w:color w:val="181818"/>
          <w:sz w:val="24"/>
          <w:szCs w:val="24"/>
        </w:rPr>
        <w:t xml:space="preserve">Table </w:t>
      </w:r>
      <w:r w:rsidR="000C0E99">
        <w:rPr>
          <w:rFonts w:asciiTheme="majorBidi" w:eastAsia="Times New Roman" w:hAnsiTheme="majorBidi" w:cstheme="majorBidi" w:hint="cs"/>
          <w:b/>
          <w:bCs/>
          <w:color w:val="181818"/>
          <w:sz w:val="24"/>
          <w:szCs w:val="24"/>
          <w:rtl/>
        </w:rPr>
        <w:t>1</w:t>
      </w:r>
      <w:r>
        <w:rPr>
          <w:rFonts w:asciiTheme="majorBidi" w:eastAsia="Times New Roman" w:hAnsiTheme="majorBidi" w:cstheme="majorBidi"/>
          <w:color w:val="181818"/>
          <w:sz w:val="24"/>
          <w:szCs w:val="24"/>
        </w:rPr>
        <w:t xml:space="preserve"> </w:t>
      </w:r>
      <w:bookmarkStart w:id="3" w:name="_Hlk42120394"/>
      <w:bookmarkStart w:id="4" w:name="_Hlk42120154"/>
      <w:r w:rsidRPr="00030E90">
        <w:rPr>
          <w:rFonts w:asciiTheme="majorBidi" w:eastAsia="Times New Roman" w:hAnsiTheme="majorBidi" w:cstheme="majorBidi"/>
          <w:color w:val="181818"/>
          <w:sz w:val="24"/>
          <w:szCs w:val="24"/>
        </w:rPr>
        <w:t>FPN</w:t>
      </w:r>
      <w:bookmarkEnd w:id="3"/>
      <w:r w:rsidRPr="00030E90">
        <w:rPr>
          <w:rFonts w:asciiTheme="majorBidi" w:eastAsia="Times New Roman" w:hAnsiTheme="majorBidi" w:cstheme="majorBidi"/>
          <w:color w:val="181818"/>
          <w:sz w:val="24"/>
          <w:szCs w:val="24"/>
        </w:rPr>
        <w:t xml:space="preserve"> and/or K2Cr2O7 </w:t>
      </w:r>
      <w:bookmarkEnd w:id="4"/>
      <w:r w:rsidRPr="00030E90">
        <w:rPr>
          <w:rFonts w:asciiTheme="majorBidi" w:eastAsia="Times New Roman" w:hAnsiTheme="majorBidi" w:cstheme="majorBidi"/>
          <w:color w:val="181818"/>
          <w:sz w:val="24"/>
          <w:szCs w:val="24"/>
        </w:rPr>
        <w:t xml:space="preserve">induced hepatoxicity as demonstrated by the elevation </w:t>
      </w:r>
      <w:r w:rsidR="008F1F7D" w:rsidRPr="00030E90">
        <w:rPr>
          <w:rFonts w:asciiTheme="majorBidi" w:eastAsia="Times New Roman" w:hAnsiTheme="majorBidi" w:cstheme="majorBidi"/>
          <w:color w:val="181818"/>
          <w:sz w:val="24"/>
          <w:szCs w:val="24"/>
        </w:rPr>
        <w:t>of serum liver biomarkers. The AST, ALT</w:t>
      </w:r>
      <w:r w:rsidR="008F1F7D">
        <w:rPr>
          <w:rFonts w:asciiTheme="majorBidi" w:eastAsia="Times New Roman" w:hAnsiTheme="majorBidi" w:cstheme="majorBidi"/>
          <w:color w:val="181818"/>
          <w:sz w:val="24"/>
          <w:szCs w:val="24"/>
        </w:rPr>
        <w:t xml:space="preserve"> </w:t>
      </w:r>
      <w:r w:rsidR="008F1F7D" w:rsidRPr="00030E90">
        <w:rPr>
          <w:rFonts w:asciiTheme="majorBidi" w:eastAsia="Times New Roman" w:hAnsiTheme="majorBidi" w:cstheme="majorBidi"/>
          <w:color w:val="181818"/>
          <w:sz w:val="24"/>
          <w:szCs w:val="24"/>
        </w:rPr>
        <w:t xml:space="preserve">levels were substantially increased (P≤0.05) </w:t>
      </w:r>
      <w:r w:rsidR="008F1F7D">
        <w:rPr>
          <w:rFonts w:asciiTheme="majorBidi" w:eastAsia="Times New Roman" w:hAnsiTheme="majorBidi" w:cstheme="majorBidi"/>
          <w:color w:val="181818"/>
          <w:sz w:val="24"/>
          <w:szCs w:val="24"/>
        </w:rPr>
        <w:t>and significant decrease in total protein and albumin</w:t>
      </w:r>
      <w:r w:rsidR="008F1F7D" w:rsidRPr="00EA3390">
        <w:rPr>
          <w:rFonts w:asciiTheme="majorBidi" w:eastAsia="Times New Roman" w:hAnsiTheme="majorBidi" w:cstheme="majorBidi"/>
          <w:color w:val="181818"/>
          <w:sz w:val="24"/>
          <w:szCs w:val="24"/>
        </w:rPr>
        <w:t>(P≤0.05)</w:t>
      </w:r>
      <w:r w:rsidR="008F1F7D">
        <w:rPr>
          <w:rFonts w:asciiTheme="majorBidi" w:eastAsia="Times New Roman" w:hAnsiTheme="majorBidi" w:cstheme="majorBidi"/>
          <w:color w:val="181818"/>
          <w:sz w:val="24"/>
          <w:szCs w:val="24"/>
        </w:rPr>
        <w:t xml:space="preserve"> </w:t>
      </w:r>
      <w:r w:rsidR="008F1F7D" w:rsidRPr="00030E90">
        <w:rPr>
          <w:rFonts w:asciiTheme="majorBidi" w:eastAsia="Times New Roman" w:hAnsiTheme="majorBidi" w:cstheme="majorBidi"/>
          <w:color w:val="181818"/>
          <w:sz w:val="24"/>
          <w:szCs w:val="24"/>
        </w:rPr>
        <w:t xml:space="preserve">in response to </w:t>
      </w:r>
      <w:r w:rsidR="008F1F7D" w:rsidRPr="00EA3390">
        <w:rPr>
          <w:rFonts w:asciiTheme="majorBidi" w:eastAsia="Times New Roman" w:hAnsiTheme="majorBidi" w:cstheme="majorBidi"/>
          <w:color w:val="181818"/>
          <w:sz w:val="24"/>
          <w:szCs w:val="24"/>
        </w:rPr>
        <w:t>FPN and/or K2Cr2O7</w:t>
      </w:r>
      <w:r w:rsidR="008F1F7D" w:rsidRPr="00030E90">
        <w:rPr>
          <w:rFonts w:asciiTheme="majorBidi" w:eastAsia="Times New Roman" w:hAnsiTheme="majorBidi" w:cstheme="majorBidi"/>
          <w:color w:val="181818"/>
          <w:sz w:val="24"/>
          <w:szCs w:val="24"/>
        </w:rPr>
        <w:t xml:space="preserve"> treatment compared to those of control rats.</w:t>
      </w:r>
    </w:p>
    <w:tbl>
      <w:tblPr>
        <w:tblStyle w:val="PlainTable2"/>
        <w:tblpPr w:leftFromText="180" w:rightFromText="180" w:vertAnchor="page" w:horzAnchor="margin" w:tblpXSpec="center" w:tblpY="6766"/>
        <w:tblW w:w="11245" w:type="dxa"/>
        <w:tblLook w:val="04A0" w:firstRow="1" w:lastRow="0" w:firstColumn="1" w:lastColumn="0" w:noHBand="0" w:noVBand="1"/>
      </w:tblPr>
      <w:tblGrid>
        <w:gridCol w:w="1861"/>
        <w:gridCol w:w="2108"/>
        <w:gridCol w:w="1942"/>
        <w:gridCol w:w="1699"/>
        <w:gridCol w:w="1861"/>
        <w:gridCol w:w="1774"/>
      </w:tblGrid>
      <w:tr w:rsidR="008F1F7D" w:rsidRPr="008F1F7D" w14:paraId="32F9BD41" w14:textId="77777777" w:rsidTr="00793DC4">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61" w:type="dxa"/>
            <w:vMerge w:val="restart"/>
          </w:tcPr>
          <w:p w14:paraId="5886AC73" w14:textId="77777777" w:rsidR="008F1F7D" w:rsidRPr="008F1F7D" w:rsidRDefault="008F1F7D" w:rsidP="000C0E99">
            <w:pPr>
              <w:spacing w:line="360" w:lineRule="auto"/>
              <w:ind w:left="-450"/>
              <w:jc w:val="center"/>
              <w:rPr>
                <w:rFonts w:asciiTheme="majorBidi" w:hAnsiTheme="majorBidi" w:cstheme="majorBidi"/>
                <w:sz w:val="24"/>
                <w:szCs w:val="24"/>
                <w:lang w:bidi="ar-EG"/>
              </w:rPr>
            </w:pPr>
            <w:r w:rsidRPr="008F1F7D">
              <w:rPr>
                <w:rFonts w:asciiTheme="majorBidi" w:hAnsiTheme="majorBidi" w:cstheme="majorBidi"/>
                <w:sz w:val="24"/>
                <w:szCs w:val="24"/>
                <w:lang w:bidi="ar-EG"/>
              </w:rPr>
              <w:t>Parameters</w:t>
            </w:r>
          </w:p>
        </w:tc>
        <w:tc>
          <w:tcPr>
            <w:tcW w:w="9384" w:type="dxa"/>
            <w:gridSpan w:val="5"/>
          </w:tcPr>
          <w:p w14:paraId="4192ACBE" w14:textId="77777777" w:rsidR="008F1F7D" w:rsidRPr="008F1F7D" w:rsidRDefault="008F1F7D" w:rsidP="000C0E99">
            <w:pPr>
              <w:spacing w:line="360" w:lineRule="auto"/>
              <w:ind w:left="-45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Experimental groups</w:t>
            </w:r>
          </w:p>
        </w:tc>
      </w:tr>
      <w:tr w:rsidR="008F1F7D" w:rsidRPr="008F1F7D" w14:paraId="0B609B9C" w14:textId="77777777" w:rsidTr="00554EC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861" w:type="dxa"/>
            <w:vMerge/>
          </w:tcPr>
          <w:p w14:paraId="31DE445A" w14:textId="77777777" w:rsidR="008F1F7D" w:rsidRPr="008F1F7D" w:rsidRDefault="008F1F7D" w:rsidP="00FA6001">
            <w:pPr>
              <w:spacing w:line="360" w:lineRule="auto"/>
              <w:ind w:left="-450"/>
              <w:jc w:val="both"/>
              <w:rPr>
                <w:rFonts w:asciiTheme="majorBidi" w:hAnsiTheme="majorBidi" w:cstheme="majorBidi"/>
                <w:sz w:val="24"/>
                <w:szCs w:val="24"/>
                <w:lang w:bidi="ar-EG"/>
              </w:rPr>
            </w:pPr>
          </w:p>
        </w:tc>
        <w:tc>
          <w:tcPr>
            <w:tcW w:w="2108" w:type="dxa"/>
          </w:tcPr>
          <w:p w14:paraId="36F0ED17" w14:textId="77777777" w:rsidR="008F1F7D" w:rsidRPr="008F1F7D" w:rsidRDefault="008F1F7D" w:rsidP="00544254">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sz w:val="24"/>
                <w:szCs w:val="24"/>
              </w:rPr>
              <w:t>control</w:t>
            </w:r>
          </w:p>
        </w:tc>
        <w:tc>
          <w:tcPr>
            <w:tcW w:w="1942" w:type="dxa"/>
          </w:tcPr>
          <w:p w14:paraId="53C44E44" w14:textId="77777777" w:rsidR="008F1F7D" w:rsidRPr="008F1F7D" w:rsidRDefault="008F1F7D" w:rsidP="00544254">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sz w:val="24"/>
                <w:szCs w:val="24"/>
              </w:rPr>
              <w:t>Control corn oil</w:t>
            </w:r>
          </w:p>
        </w:tc>
        <w:tc>
          <w:tcPr>
            <w:tcW w:w="1699" w:type="dxa"/>
          </w:tcPr>
          <w:p w14:paraId="2CFB6869" w14:textId="77777777" w:rsidR="008F1F7D" w:rsidRPr="008F1F7D" w:rsidRDefault="008F1F7D" w:rsidP="00544254">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sz w:val="24"/>
                <w:szCs w:val="24"/>
              </w:rPr>
              <w:t>FPN</w:t>
            </w:r>
          </w:p>
        </w:tc>
        <w:tc>
          <w:tcPr>
            <w:tcW w:w="1861" w:type="dxa"/>
          </w:tcPr>
          <w:p w14:paraId="43E15897" w14:textId="77777777" w:rsidR="008F1F7D" w:rsidRPr="008F1F7D" w:rsidRDefault="008F1F7D" w:rsidP="00554EC0">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sz w:val="24"/>
                <w:szCs w:val="24"/>
              </w:rPr>
              <w:t>K2Cr2O7</w:t>
            </w:r>
          </w:p>
        </w:tc>
        <w:tc>
          <w:tcPr>
            <w:tcW w:w="1774" w:type="dxa"/>
          </w:tcPr>
          <w:p w14:paraId="37106788" w14:textId="77777777" w:rsidR="008F1F7D" w:rsidRPr="008F1F7D" w:rsidRDefault="008F1F7D" w:rsidP="00AD48B6">
            <w:pPr>
              <w:spacing w:line="360" w:lineRule="auto"/>
              <w:ind w:left="-45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sz w:val="24"/>
                <w:szCs w:val="24"/>
              </w:rPr>
              <w:t>FPN + K2Cr2O7</w:t>
            </w:r>
          </w:p>
        </w:tc>
      </w:tr>
      <w:tr w:rsidR="008F1F7D" w:rsidRPr="008F1F7D" w14:paraId="2FF9567F" w14:textId="77777777" w:rsidTr="00554EC0">
        <w:trPr>
          <w:trHeight w:val="387"/>
        </w:trPr>
        <w:tc>
          <w:tcPr>
            <w:cnfStyle w:val="001000000000" w:firstRow="0" w:lastRow="0" w:firstColumn="1" w:lastColumn="0" w:oddVBand="0" w:evenVBand="0" w:oddHBand="0" w:evenHBand="0" w:firstRowFirstColumn="0" w:firstRowLastColumn="0" w:lastRowFirstColumn="0" w:lastRowLastColumn="0"/>
            <w:tcW w:w="1861" w:type="dxa"/>
          </w:tcPr>
          <w:p w14:paraId="143E62ED" w14:textId="77777777" w:rsidR="008F1F7D" w:rsidRPr="00544254" w:rsidRDefault="008F1F7D" w:rsidP="000C0E99">
            <w:pPr>
              <w:spacing w:line="360" w:lineRule="auto"/>
              <w:ind w:left="-105"/>
              <w:jc w:val="center"/>
              <w:rPr>
                <w:rFonts w:asciiTheme="majorBidi" w:hAnsiTheme="majorBidi" w:cstheme="majorBidi"/>
                <w:sz w:val="24"/>
                <w:szCs w:val="24"/>
                <w:lang w:bidi="ar-EG"/>
              </w:rPr>
            </w:pPr>
            <w:r w:rsidRPr="00544254">
              <w:rPr>
                <w:rFonts w:asciiTheme="majorBidi" w:hAnsiTheme="majorBidi" w:cstheme="majorBidi"/>
                <w:sz w:val="24"/>
                <w:szCs w:val="24"/>
                <w:lang w:bidi="ar-EG"/>
              </w:rPr>
              <w:t>AST (U/L)</w:t>
            </w:r>
          </w:p>
        </w:tc>
        <w:tc>
          <w:tcPr>
            <w:tcW w:w="2108" w:type="dxa"/>
          </w:tcPr>
          <w:p w14:paraId="3865DADE" w14:textId="77777777" w:rsidR="008F1F7D" w:rsidRPr="008F1F7D" w:rsidRDefault="008F1F7D" w:rsidP="000C0E99">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39.25 ± 4.09 d</w:t>
            </w:r>
          </w:p>
        </w:tc>
        <w:tc>
          <w:tcPr>
            <w:tcW w:w="1942" w:type="dxa"/>
          </w:tcPr>
          <w:p w14:paraId="368A360A" w14:textId="77777777" w:rsidR="008F1F7D" w:rsidRPr="008F1F7D" w:rsidRDefault="008F1F7D" w:rsidP="000C0E99">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48.88 ± 4.90 d</w:t>
            </w:r>
          </w:p>
        </w:tc>
        <w:tc>
          <w:tcPr>
            <w:tcW w:w="1699" w:type="dxa"/>
          </w:tcPr>
          <w:p w14:paraId="6F47EABB" w14:textId="77777777" w:rsidR="008F1F7D" w:rsidRPr="008F1F7D" w:rsidRDefault="008F1F7D" w:rsidP="000C0E99">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94.76 ± 5.57 c</w:t>
            </w:r>
          </w:p>
        </w:tc>
        <w:tc>
          <w:tcPr>
            <w:tcW w:w="1861" w:type="dxa"/>
          </w:tcPr>
          <w:p w14:paraId="3505049E" w14:textId="77777777" w:rsidR="008F1F7D" w:rsidRPr="008F1F7D" w:rsidRDefault="008F1F7D" w:rsidP="00554EC0">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114.19 ± 4.70 b</w:t>
            </w:r>
          </w:p>
        </w:tc>
        <w:tc>
          <w:tcPr>
            <w:tcW w:w="1774" w:type="dxa"/>
          </w:tcPr>
          <w:p w14:paraId="1C8EDE78" w14:textId="77777777" w:rsidR="008F1F7D" w:rsidRPr="008F1F7D" w:rsidRDefault="008F1F7D" w:rsidP="000C0E99">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141.00 ± 3.99 a</w:t>
            </w:r>
          </w:p>
        </w:tc>
      </w:tr>
      <w:tr w:rsidR="008F1F7D" w:rsidRPr="008F1F7D" w14:paraId="37D16B4B" w14:textId="77777777" w:rsidTr="00554EC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861" w:type="dxa"/>
          </w:tcPr>
          <w:p w14:paraId="0B7802C2" w14:textId="77777777" w:rsidR="008F1F7D" w:rsidRPr="00544254" w:rsidRDefault="008F1F7D" w:rsidP="000C0E99">
            <w:pPr>
              <w:spacing w:line="360" w:lineRule="auto"/>
              <w:ind w:left="-105"/>
              <w:jc w:val="center"/>
              <w:rPr>
                <w:rFonts w:asciiTheme="majorBidi" w:hAnsiTheme="majorBidi" w:cstheme="majorBidi"/>
                <w:sz w:val="24"/>
                <w:szCs w:val="24"/>
                <w:lang w:bidi="ar-EG"/>
              </w:rPr>
            </w:pPr>
            <w:r w:rsidRPr="00544254">
              <w:rPr>
                <w:rFonts w:asciiTheme="majorBidi" w:hAnsiTheme="majorBidi" w:cstheme="majorBidi"/>
                <w:sz w:val="24"/>
                <w:szCs w:val="24"/>
                <w:lang w:bidi="ar-EG"/>
              </w:rPr>
              <w:t>ALT (U/L)</w:t>
            </w:r>
          </w:p>
        </w:tc>
        <w:tc>
          <w:tcPr>
            <w:tcW w:w="2108" w:type="dxa"/>
          </w:tcPr>
          <w:p w14:paraId="160E7DEF" w14:textId="77777777" w:rsidR="008F1F7D" w:rsidRPr="008F1F7D" w:rsidRDefault="008F1F7D" w:rsidP="000C0E99">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55.90 ± 3.65 c</w:t>
            </w:r>
          </w:p>
        </w:tc>
        <w:tc>
          <w:tcPr>
            <w:tcW w:w="1942" w:type="dxa"/>
          </w:tcPr>
          <w:p w14:paraId="4501E8CE" w14:textId="77777777" w:rsidR="008F1F7D" w:rsidRPr="008F1F7D" w:rsidRDefault="008F1F7D" w:rsidP="000C0E99">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42.03 ± 1.91 c</w:t>
            </w:r>
          </w:p>
        </w:tc>
        <w:tc>
          <w:tcPr>
            <w:tcW w:w="1699" w:type="dxa"/>
          </w:tcPr>
          <w:p w14:paraId="754CFC67" w14:textId="77777777" w:rsidR="008F1F7D" w:rsidRPr="008F1F7D" w:rsidRDefault="008F1F7D" w:rsidP="000C0E99">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100.19 ± 4.88 a</w:t>
            </w:r>
          </w:p>
        </w:tc>
        <w:tc>
          <w:tcPr>
            <w:tcW w:w="1861" w:type="dxa"/>
          </w:tcPr>
          <w:p w14:paraId="257BE5E5" w14:textId="77777777" w:rsidR="008F1F7D" w:rsidRPr="008F1F7D" w:rsidRDefault="008F1F7D" w:rsidP="00554EC0">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82.50 ± 4.59 b</w:t>
            </w:r>
          </w:p>
        </w:tc>
        <w:tc>
          <w:tcPr>
            <w:tcW w:w="1774" w:type="dxa"/>
          </w:tcPr>
          <w:p w14:paraId="1D2F3A04" w14:textId="77777777" w:rsidR="008F1F7D" w:rsidRPr="008F1F7D" w:rsidRDefault="008F1F7D" w:rsidP="000C0E99">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110.79 ± 5.78 a</w:t>
            </w:r>
          </w:p>
        </w:tc>
      </w:tr>
      <w:tr w:rsidR="008F1F7D" w:rsidRPr="008F1F7D" w14:paraId="0DC48BFC" w14:textId="77777777" w:rsidTr="00554EC0">
        <w:trPr>
          <w:trHeight w:val="387"/>
        </w:trPr>
        <w:tc>
          <w:tcPr>
            <w:cnfStyle w:val="001000000000" w:firstRow="0" w:lastRow="0" w:firstColumn="1" w:lastColumn="0" w:oddVBand="0" w:evenVBand="0" w:oddHBand="0" w:evenHBand="0" w:firstRowFirstColumn="0" w:firstRowLastColumn="0" w:lastRowFirstColumn="0" w:lastRowLastColumn="0"/>
            <w:tcW w:w="1861" w:type="dxa"/>
          </w:tcPr>
          <w:p w14:paraId="780DECCA" w14:textId="77777777" w:rsidR="008F1F7D" w:rsidRPr="00544254" w:rsidRDefault="008F1F7D" w:rsidP="000C0E99">
            <w:pPr>
              <w:spacing w:line="360" w:lineRule="auto"/>
              <w:ind w:left="-105"/>
              <w:jc w:val="center"/>
              <w:rPr>
                <w:rFonts w:asciiTheme="majorBidi" w:hAnsiTheme="majorBidi" w:cstheme="majorBidi"/>
                <w:sz w:val="24"/>
                <w:szCs w:val="24"/>
                <w:lang w:bidi="ar-EG"/>
              </w:rPr>
            </w:pPr>
            <w:r w:rsidRPr="00544254">
              <w:rPr>
                <w:rFonts w:asciiTheme="majorBidi" w:hAnsiTheme="majorBidi" w:cstheme="majorBidi"/>
                <w:sz w:val="24"/>
                <w:szCs w:val="24"/>
                <w:lang w:bidi="ar-EG"/>
              </w:rPr>
              <w:t>TP (g/dL)</w:t>
            </w:r>
          </w:p>
        </w:tc>
        <w:tc>
          <w:tcPr>
            <w:tcW w:w="2108" w:type="dxa"/>
          </w:tcPr>
          <w:p w14:paraId="49420BB3" w14:textId="77777777" w:rsidR="008F1F7D" w:rsidRPr="008F1F7D" w:rsidRDefault="008F1F7D" w:rsidP="000C0E99">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6.66 ± 0.41 b</w:t>
            </w:r>
          </w:p>
        </w:tc>
        <w:tc>
          <w:tcPr>
            <w:tcW w:w="1942" w:type="dxa"/>
          </w:tcPr>
          <w:p w14:paraId="05C7B7DC" w14:textId="77777777" w:rsidR="008F1F7D" w:rsidRPr="008F1F7D" w:rsidRDefault="008F1F7D" w:rsidP="000C0E99">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7.71 ± 0.51 a</w:t>
            </w:r>
          </w:p>
        </w:tc>
        <w:tc>
          <w:tcPr>
            <w:tcW w:w="1699" w:type="dxa"/>
          </w:tcPr>
          <w:p w14:paraId="59E520A0" w14:textId="77777777" w:rsidR="008F1F7D" w:rsidRPr="008F1F7D" w:rsidRDefault="008F1F7D" w:rsidP="000C0E99">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 xml:space="preserve">4.65 ± 0.19 </w:t>
            </w:r>
            <w:proofErr w:type="spellStart"/>
            <w:proofErr w:type="gramStart"/>
            <w:r w:rsidRPr="008F1F7D">
              <w:rPr>
                <w:rFonts w:asciiTheme="majorBidi" w:hAnsiTheme="majorBidi" w:cstheme="majorBidi"/>
                <w:sz w:val="24"/>
                <w:szCs w:val="24"/>
                <w:lang w:bidi="ar-EG"/>
              </w:rPr>
              <w:t>c,d</w:t>
            </w:r>
            <w:proofErr w:type="spellEnd"/>
            <w:proofErr w:type="gramEnd"/>
          </w:p>
        </w:tc>
        <w:tc>
          <w:tcPr>
            <w:tcW w:w="1861" w:type="dxa"/>
          </w:tcPr>
          <w:p w14:paraId="462192AF" w14:textId="77777777" w:rsidR="008F1F7D" w:rsidRPr="008F1F7D" w:rsidRDefault="008F1F7D" w:rsidP="00554EC0">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5.45 ± 0.19 c</w:t>
            </w:r>
          </w:p>
        </w:tc>
        <w:tc>
          <w:tcPr>
            <w:tcW w:w="1774" w:type="dxa"/>
          </w:tcPr>
          <w:p w14:paraId="11052762" w14:textId="77777777" w:rsidR="008F1F7D" w:rsidRPr="008F1F7D" w:rsidRDefault="008F1F7D" w:rsidP="000C0E99">
            <w:pPr>
              <w:spacing w:line="360" w:lineRule="auto"/>
              <w:ind w:left="-10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4.08 ± 0.24 d</w:t>
            </w:r>
          </w:p>
        </w:tc>
      </w:tr>
      <w:tr w:rsidR="008F1F7D" w:rsidRPr="008F1F7D" w14:paraId="2B311733" w14:textId="77777777" w:rsidTr="00554EC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861" w:type="dxa"/>
          </w:tcPr>
          <w:p w14:paraId="483AEA8F" w14:textId="77777777" w:rsidR="008F1F7D" w:rsidRPr="00544254" w:rsidRDefault="008F1F7D" w:rsidP="000C0E99">
            <w:pPr>
              <w:spacing w:line="360" w:lineRule="auto"/>
              <w:ind w:left="-105"/>
              <w:jc w:val="center"/>
              <w:rPr>
                <w:rFonts w:asciiTheme="majorBidi" w:hAnsiTheme="majorBidi" w:cstheme="majorBidi"/>
                <w:sz w:val="24"/>
                <w:szCs w:val="24"/>
                <w:lang w:bidi="ar-EG"/>
              </w:rPr>
            </w:pPr>
            <w:r w:rsidRPr="00544254">
              <w:rPr>
                <w:rFonts w:asciiTheme="majorBidi" w:hAnsiTheme="majorBidi" w:cstheme="majorBidi"/>
                <w:sz w:val="24"/>
                <w:szCs w:val="24"/>
                <w:lang w:bidi="ar-EG"/>
              </w:rPr>
              <w:t>Albumin (g/dL)</w:t>
            </w:r>
          </w:p>
        </w:tc>
        <w:tc>
          <w:tcPr>
            <w:tcW w:w="2108" w:type="dxa"/>
          </w:tcPr>
          <w:p w14:paraId="174549A4" w14:textId="77777777" w:rsidR="008F1F7D" w:rsidRPr="008F1F7D" w:rsidRDefault="008F1F7D" w:rsidP="000C0E99">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3.21 ± 0.16 a</w:t>
            </w:r>
          </w:p>
        </w:tc>
        <w:tc>
          <w:tcPr>
            <w:tcW w:w="1942" w:type="dxa"/>
          </w:tcPr>
          <w:p w14:paraId="5826DC50" w14:textId="77777777" w:rsidR="008F1F7D" w:rsidRPr="008F1F7D" w:rsidRDefault="008F1F7D" w:rsidP="000C0E99">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3.71 ± 0.54 a</w:t>
            </w:r>
          </w:p>
        </w:tc>
        <w:tc>
          <w:tcPr>
            <w:tcW w:w="1699" w:type="dxa"/>
          </w:tcPr>
          <w:p w14:paraId="65DECAB1" w14:textId="77777777" w:rsidR="008F1F7D" w:rsidRPr="008F1F7D" w:rsidRDefault="008F1F7D" w:rsidP="000C0E99">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2.40 ± 0.19 b</w:t>
            </w:r>
          </w:p>
        </w:tc>
        <w:tc>
          <w:tcPr>
            <w:tcW w:w="1861" w:type="dxa"/>
          </w:tcPr>
          <w:p w14:paraId="2F12DC24" w14:textId="77777777" w:rsidR="008F1F7D" w:rsidRPr="008F1F7D" w:rsidRDefault="008F1F7D" w:rsidP="00554EC0">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2.50 ± 0.14 b</w:t>
            </w:r>
          </w:p>
        </w:tc>
        <w:tc>
          <w:tcPr>
            <w:tcW w:w="1774" w:type="dxa"/>
          </w:tcPr>
          <w:p w14:paraId="019423E1" w14:textId="77777777" w:rsidR="008F1F7D" w:rsidRPr="008F1F7D" w:rsidRDefault="008F1F7D" w:rsidP="000C0E99">
            <w:pPr>
              <w:spacing w:line="360" w:lineRule="auto"/>
              <w:ind w:left="-10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EG"/>
              </w:rPr>
            </w:pPr>
            <w:r w:rsidRPr="008F1F7D">
              <w:rPr>
                <w:rFonts w:asciiTheme="majorBidi" w:hAnsiTheme="majorBidi" w:cstheme="majorBidi"/>
                <w:sz w:val="24"/>
                <w:szCs w:val="24"/>
                <w:lang w:bidi="ar-EG"/>
              </w:rPr>
              <w:t>1.49 ± 0.13 c</w:t>
            </w:r>
          </w:p>
        </w:tc>
      </w:tr>
    </w:tbl>
    <w:p w14:paraId="55E89A36" w14:textId="1553DCAB" w:rsidR="008F1F7D" w:rsidRDefault="008F1F7D" w:rsidP="00FA6001">
      <w:pPr>
        <w:spacing w:line="360" w:lineRule="auto"/>
        <w:ind w:left="-450"/>
        <w:jc w:val="both"/>
        <w:rPr>
          <w:rFonts w:asciiTheme="majorBidi" w:eastAsia="Times New Roman" w:hAnsiTheme="majorBidi" w:cstheme="majorBidi"/>
          <w:color w:val="181818"/>
          <w:sz w:val="24"/>
          <w:szCs w:val="24"/>
        </w:rPr>
      </w:pPr>
      <w:r w:rsidRPr="00EA3390">
        <w:rPr>
          <w:rFonts w:asciiTheme="majorBidi" w:eastAsia="Times New Roman" w:hAnsiTheme="majorBidi" w:cstheme="majorBidi"/>
          <w:color w:val="181818"/>
          <w:sz w:val="24"/>
          <w:szCs w:val="24"/>
        </w:rPr>
        <w:t xml:space="preserve">These data suggested that when FPN and K2Cr2O7 were used in combination, </w:t>
      </w:r>
      <w:r>
        <w:rPr>
          <w:rFonts w:asciiTheme="majorBidi" w:eastAsia="Times New Roman" w:hAnsiTheme="majorBidi" w:cstheme="majorBidi"/>
          <w:color w:val="181818"/>
          <w:sz w:val="24"/>
          <w:szCs w:val="24"/>
        </w:rPr>
        <w:t xml:space="preserve">provide synergistic effect lead to more damage on liver of rats </w:t>
      </w:r>
      <w:r w:rsidRPr="00EA3390">
        <w:rPr>
          <w:rFonts w:asciiTheme="majorBidi" w:eastAsia="Times New Roman" w:hAnsiTheme="majorBidi" w:cstheme="majorBidi"/>
          <w:color w:val="181818"/>
          <w:sz w:val="24"/>
          <w:szCs w:val="24"/>
        </w:rPr>
        <w:t>than either one alone.</w:t>
      </w:r>
    </w:p>
    <w:p w14:paraId="35738F0C" w14:textId="2EF3E285" w:rsidR="008F1F7D" w:rsidRPr="008F1F7D" w:rsidRDefault="008F1F7D" w:rsidP="00FA6001">
      <w:pPr>
        <w:spacing w:line="360" w:lineRule="auto"/>
        <w:ind w:left="-450"/>
        <w:jc w:val="both"/>
        <w:rPr>
          <w:rFonts w:asciiTheme="majorBidi" w:eastAsia="Times New Roman" w:hAnsiTheme="majorBidi" w:cstheme="majorBidi"/>
          <w:color w:val="181818"/>
          <w:sz w:val="24"/>
          <w:szCs w:val="24"/>
        </w:rPr>
      </w:pPr>
      <w:r w:rsidRPr="008F1F7D">
        <w:rPr>
          <w:rFonts w:asciiTheme="majorBidi" w:eastAsia="Times New Roman" w:hAnsiTheme="majorBidi" w:cstheme="majorBidi"/>
          <w:color w:val="181818"/>
          <w:sz w:val="24"/>
          <w:szCs w:val="24"/>
        </w:rPr>
        <w:t xml:space="preserve">Table </w:t>
      </w:r>
      <w:r w:rsidR="000C0E99">
        <w:rPr>
          <w:rFonts w:asciiTheme="majorBidi" w:eastAsia="Times New Roman" w:hAnsiTheme="majorBidi" w:cstheme="majorBidi" w:hint="cs"/>
          <w:color w:val="181818"/>
          <w:sz w:val="24"/>
          <w:szCs w:val="24"/>
          <w:rtl/>
        </w:rPr>
        <w:t>1</w:t>
      </w:r>
      <w:r w:rsidRPr="008F1F7D">
        <w:rPr>
          <w:rFonts w:asciiTheme="majorBidi" w:eastAsia="Times New Roman" w:hAnsiTheme="majorBidi" w:cstheme="majorBidi"/>
          <w:color w:val="181818"/>
          <w:sz w:val="24"/>
          <w:szCs w:val="24"/>
        </w:rPr>
        <w:t>: Effect of oral administration of Fipronil (FPN) and Potassium dichromate (K2Cr2O7) and their combinations on serum biochemical parameters. Data are expressed as the mean ± SE (n=7). Different superscript letters in the same row indicate statistical significance at P≤0.05.</w:t>
      </w:r>
    </w:p>
    <w:p w14:paraId="361D37CB" w14:textId="18D5D4B1" w:rsidR="00E632A1" w:rsidRDefault="00E632A1" w:rsidP="00FA6001">
      <w:pPr>
        <w:spacing w:line="360" w:lineRule="auto"/>
        <w:ind w:left="-450"/>
        <w:jc w:val="both"/>
        <w:rPr>
          <w:rFonts w:asciiTheme="majorBidi" w:eastAsia="Times New Roman" w:hAnsiTheme="majorBidi" w:cstheme="majorBidi"/>
          <w:color w:val="181818"/>
          <w:sz w:val="24"/>
          <w:szCs w:val="24"/>
        </w:rPr>
      </w:pPr>
    </w:p>
    <w:p w14:paraId="50579BB9" w14:textId="77777777" w:rsidR="00F04712" w:rsidRDefault="00F04712" w:rsidP="00FA6001">
      <w:pPr>
        <w:spacing w:line="360" w:lineRule="auto"/>
        <w:ind w:left="-450"/>
        <w:jc w:val="both"/>
        <w:rPr>
          <w:rFonts w:asciiTheme="majorBidi" w:eastAsia="Times New Roman" w:hAnsiTheme="majorBidi" w:cstheme="majorBidi"/>
          <w:b/>
          <w:bCs/>
          <w:color w:val="181818"/>
          <w:sz w:val="24"/>
          <w:szCs w:val="24"/>
        </w:rPr>
      </w:pPr>
    </w:p>
    <w:p w14:paraId="686ADA49" w14:textId="4C58450A" w:rsidR="00F04712" w:rsidRDefault="00F04712" w:rsidP="00FA6001">
      <w:pPr>
        <w:spacing w:line="360" w:lineRule="auto"/>
        <w:ind w:left="-450"/>
        <w:jc w:val="both"/>
        <w:rPr>
          <w:rFonts w:asciiTheme="majorBidi" w:eastAsia="Times New Roman" w:hAnsiTheme="majorBidi" w:cstheme="majorBidi"/>
          <w:b/>
          <w:bCs/>
          <w:color w:val="181818"/>
          <w:sz w:val="24"/>
          <w:szCs w:val="24"/>
        </w:rPr>
      </w:pPr>
    </w:p>
    <w:p w14:paraId="715D630D" w14:textId="26ADE26F" w:rsidR="00793DC4" w:rsidRDefault="00793DC4" w:rsidP="00FA6001">
      <w:pPr>
        <w:spacing w:line="360" w:lineRule="auto"/>
        <w:ind w:left="-450"/>
        <w:jc w:val="both"/>
        <w:rPr>
          <w:rFonts w:asciiTheme="majorBidi" w:eastAsia="Times New Roman" w:hAnsiTheme="majorBidi" w:cstheme="majorBidi"/>
          <w:b/>
          <w:bCs/>
          <w:color w:val="181818"/>
          <w:sz w:val="24"/>
          <w:szCs w:val="24"/>
        </w:rPr>
      </w:pPr>
    </w:p>
    <w:p w14:paraId="77D487C6" w14:textId="2F69B3C3" w:rsidR="00793DC4" w:rsidRDefault="00793DC4" w:rsidP="00FA6001">
      <w:pPr>
        <w:spacing w:line="360" w:lineRule="auto"/>
        <w:ind w:left="-450"/>
        <w:jc w:val="both"/>
        <w:rPr>
          <w:rFonts w:asciiTheme="majorBidi" w:eastAsia="Times New Roman" w:hAnsiTheme="majorBidi" w:cstheme="majorBidi"/>
          <w:b/>
          <w:bCs/>
          <w:color w:val="181818"/>
          <w:sz w:val="24"/>
          <w:szCs w:val="24"/>
        </w:rPr>
      </w:pPr>
    </w:p>
    <w:p w14:paraId="05220AFF" w14:textId="060C933C" w:rsidR="00793DC4" w:rsidRDefault="00793DC4" w:rsidP="00FA6001">
      <w:pPr>
        <w:spacing w:line="360" w:lineRule="auto"/>
        <w:ind w:left="-450"/>
        <w:jc w:val="both"/>
        <w:rPr>
          <w:rFonts w:asciiTheme="majorBidi" w:eastAsia="Times New Roman" w:hAnsiTheme="majorBidi" w:cstheme="majorBidi"/>
          <w:b/>
          <w:bCs/>
          <w:color w:val="181818"/>
          <w:sz w:val="24"/>
          <w:szCs w:val="24"/>
        </w:rPr>
      </w:pPr>
    </w:p>
    <w:p w14:paraId="2B7919EC" w14:textId="5FE44441" w:rsidR="00793DC4" w:rsidRDefault="00793DC4" w:rsidP="00FA6001">
      <w:pPr>
        <w:spacing w:line="360" w:lineRule="auto"/>
        <w:ind w:left="-450"/>
        <w:jc w:val="both"/>
        <w:rPr>
          <w:rFonts w:asciiTheme="majorBidi" w:eastAsia="Times New Roman" w:hAnsiTheme="majorBidi" w:cstheme="majorBidi"/>
          <w:b/>
          <w:bCs/>
          <w:color w:val="181818"/>
          <w:sz w:val="24"/>
          <w:szCs w:val="24"/>
        </w:rPr>
      </w:pPr>
    </w:p>
    <w:p w14:paraId="531B636E" w14:textId="38F9763E" w:rsidR="00793DC4" w:rsidRDefault="00793DC4" w:rsidP="00FA6001">
      <w:pPr>
        <w:spacing w:line="360" w:lineRule="auto"/>
        <w:ind w:left="-450"/>
        <w:jc w:val="both"/>
        <w:rPr>
          <w:rFonts w:asciiTheme="majorBidi" w:eastAsia="Times New Roman" w:hAnsiTheme="majorBidi" w:cstheme="majorBidi"/>
          <w:b/>
          <w:bCs/>
          <w:color w:val="181818"/>
          <w:sz w:val="24"/>
          <w:szCs w:val="24"/>
        </w:rPr>
      </w:pPr>
    </w:p>
    <w:p w14:paraId="5539FE9D" w14:textId="77777777" w:rsidR="00EB0411" w:rsidRDefault="00EB0411" w:rsidP="00FA6001">
      <w:pPr>
        <w:spacing w:line="360" w:lineRule="auto"/>
        <w:ind w:left="-450"/>
        <w:jc w:val="both"/>
        <w:rPr>
          <w:rFonts w:asciiTheme="majorBidi" w:eastAsia="Times New Roman" w:hAnsiTheme="majorBidi" w:cstheme="majorBidi"/>
          <w:b/>
          <w:bCs/>
          <w:color w:val="181818"/>
          <w:sz w:val="24"/>
          <w:szCs w:val="24"/>
        </w:rPr>
      </w:pPr>
    </w:p>
    <w:p w14:paraId="73FFD7FF" w14:textId="77777777" w:rsidR="00793DC4" w:rsidRDefault="00793DC4" w:rsidP="000C0E99">
      <w:pPr>
        <w:spacing w:line="360" w:lineRule="auto"/>
        <w:jc w:val="both"/>
        <w:rPr>
          <w:rFonts w:asciiTheme="majorBidi" w:eastAsia="Times New Roman" w:hAnsiTheme="majorBidi" w:cstheme="majorBidi"/>
          <w:b/>
          <w:bCs/>
          <w:color w:val="181818"/>
          <w:sz w:val="24"/>
          <w:szCs w:val="24"/>
        </w:rPr>
      </w:pPr>
    </w:p>
    <w:p w14:paraId="2C48DC9A" w14:textId="4BFDF347" w:rsidR="009226BC" w:rsidRPr="009226BC" w:rsidRDefault="009226BC" w:rsidP="00FA6001">
      <w:pPr>
        <w:spacing w:line="360" w:lineRule="auto"/>
        <w:ind w:left="-450"/>
        <w:jc w:val="both"/>
        <w:rPr>
          <w:rFonts w:asciiTheme="majorBidi" w:eastAsia="Times New Roman" w:hAnsiTheme="majorBidi" w:cstheme="majorBidi"/>
          <w:b/>
          <w:bCs/>
          <w:color w:val="181818"/>
          <w:sz w:val="24"/>
          <w:szCs w:val="24"/>
          <w:rtl/>
        </w:rPr>
      </w:pPr>
      <w:r w:rsidRPr="009226BC">
        <w:rPr>
          <w:rFonts w:asciiTheme="majorBidi" w:eastAsia="Times New Roman" w:hAnsiTheme="majorBidi" w:cstheme="majorBidi"/>
          <w:b/>
          <w:bCs/>
          <w:color w:val="181818"/>
          <w:sz w:val="24"/>
          <w:szCs w:val="24"/>
        </w:rPr>
        <w:lastRenderedPageBreak/>
        <w:t>3.4. Hepatic oxidative damage parameters</w:t>
      </w:r>
    </w:p>
    <w:p w14:paraId="11D24330" w14:textId="390E5151" w:rsidR="00984438" w:rsidRDefault="009226BC" w:rsidP="00FA6001">
      <w:pPr>
        <w:spacing w:line="360" w:lineRule="auto"/>
        <w:ind w:left="-450"/>
        <w:jc w:val="both"/>
        <w:rPr>
          <w:rFonts w:asciiTheme="majorBidi" w:eastAsia="Times New Roman" w:hAnsiTheme="majorBidi" w:cstheme="majorBidi"/>
          <w:color w:val="181818"/>
          <w:sz w:val="24"/>
          <w:szCs w:val="24"/>
        </w:rPr>
      </w:pPr>
      <w:r w:rsidRPr="009226BC">
        <w:rPr>
          <w:rFonts w:asciiTheme="majorBidi" w:eastAsia="Times New Roman" w:hAnsiTheme="majorBidi" w:cstheme="majorBidi"/>
          <w:color w:val="181818"/>
          <w:sz w:val="24"/>
          <w:szCs w:val="24"/>
        </w:rPr>
        <w:t>The effects of Fipronil (FPN) and/or Potassium dichromate on lipid peroxidation and liver oxidative parameters are shown in Table 2.</w:t>
      </w:r>
      <w:r w:rsidRPr="009226BC">
        <w:t xml:space="preserve"> </w:t>
      </w:r>
      <w:bookmarkStart w:id="5" w:name="_Hlk42189545"/>
      <w:r w:rsidRPr="009226BC">
        <w:rPr>
          <w:rFonts w:asciiTheme="majorBidi" w:eastAsia="Times New Roman" w:hAnsiTheme="majorBidi" w:cstheme="majorBidi"/>
          <w:color w:val="181818"/>
          <w:sz w:val="24"/>
          <w:szCs w:val="24"/>
        </w:rPr>
        <w:t xml:space="preserve">Fipronil (FPN) and/or Potassium dichromate </w:t>
      </w:r>
      <w:bookmarkEnd w:id="5"/>
      <w:r w:rsidRPr="009226BC">
        <w:rPr>
          <w:rFonts w:asciiTheme="majorBidi" w:eastAsia="Times New Roman" w:hAnsiTheme="majorBidi" w:cstheme="majorBidi"/>
          <w:color w:val="181818"/>
          <w:sz w:val="24"/>
          <w:szCs w:val="24"/>
        </w:rPr>
        <w:t xml:space="preserve">intoxicated rats showed significant increases (P≤0.05) in MDA and NO levels along with </w:t>
      </w:r>
      <w:r w:rsidR="00E632A1" w:rsidRPr="00E632A1">
        <w:rPr>
          <w:rFonts w:asciiTheme="majorBidi" w:eastAsia="Times New Roman" w:hAnsiTheme="majorBidi" w:cstheme="majorBidi"/>
          <w:color w:val="181818"/>
          <w:sz w:val="24"/>
          <w:szCs w:val="24"/>
        </w:rPr>
        <w:t xml:space="preserve">significant decreases (P≤0.05) in the </w:t>
      </w:r>
      <w:r w:rsidR="00E632A1">
        <w:rPr>
          <w:rFonts w:asciiTheme="majorBidi" w:eastAsia="Times New Roman" w:hAnsiTheme="majorBidi" w:cstheme="majorBidi"/>
          <w:color w:val="181818"/>
          <w:sz w:val="24"/>
          <w:szCs w:val="24"/>
        </w:rPr>
        <w:t>TAC</w:t>
      </w:r>
      <w:r w:rsidR="00E632A1" w:rsidRPr="00E632A1">
        <w:rPr>
          <w:rFonts w:asciiTheme="majorBidi" w:eastAsia="Times New Roman" w:hAnsiTheme="majorBidi" w:cstheme="majorBidi"/>
          <w:color w:val="181818"/>
          <w:sz w:val="24"/>
          <w:szCs w:val="24"/>
        </w:rPr>
        <w:t xml:space="preserve"> levels in liver tissues compared to those of control rats</w:t>
      </w:r>
      <w:r w:rsidR="000B276A">
        <w:rPr>
          <w:rFonts w:asciiTheme="majorBidi" w:eastAsia="Times New Roman" w:hAnsiTheme="majorBidi" w:cstheme="majorBidi"/>
          <w:color w:val="181818"/>
          <w:sz w:val="24"/>
          <w:szCs w:val="24"/>
        </w:rPr>
        <w:t>.</w:t>
      </w:r>
    </w:p>
    <w:p w14:paraId="0D64D476" w14:textId="755257AE" w:rsidR="00F04712" w:rsidRDefault="00F04712" w:rsidP="00FA6001">
      <w:pPr>
        <w:spacing w:line="360" w:lineRule="auto"/>
        <w:ind w:left="-450"/>
        <w:jc w:val="both"/>
        <w:rPr>
          <w:rFonts w:asciiTheme="majorBidi" w:eastAsia="Times New Roman" w:hAnsiTheme="majorBidi" w:cstheme="majorBidi"/>
          <w:color w:val="181818"/>
          <w:sz w:val="24"/>
          <w:szCs w:val="24"/>
        </w:rPr>
      </w:pPr>
      <w:r w:rsidRPr="008F1F7D">
        <w:rPr>
          <w:rFonts w:asciiTheme="majorBidi" w:eastAsia="Times New Roman" w:hAnsiTheme="majorBidi" w:cstheme="majorBidi"/>
          <w:color w:val="181818"/>
          <w:sz w:val="24"/>
          <w:szCs w:val="24"/>
        </w:rPr>
        <w:t xml:space="preserve">Table 2: Effect of oral administration of Fipronil (FPN) and Potassium dichromate (K2Cr2O7) and their combinations on </w:t>
      </w:r>
      <w:r w:rsidRPr="00F04712">
        <w:rPr>
          <w:rFonts w:asciiTheme="majorBidi" w:eastAsia="Times New Roman" w:hAnsiTheme="majorBidi" w:cstheme="majorBidi"/>
          <w:color w:val="181818"/>
          <w:sz w:val="24"/>
          <w:szCs w:val="24"/>
        </w:rPr>
        <w:t>oxidative damage parameters</w:t>
      </w:r>
      <w:r w:rsidRPr="008F1F7D">
        <w:rPr>
          <w:rFonts w:asciiTheme="majorBidi" w:eastAsia="Times New Roman" w:hAnsiTheme="majorBidi" w:cstheme="majorBidi"/>
          <w:color w:val="181818"/>
          <w:sz w:val="24"/>
          <w:szCs w:val="24"/>
        </w:rPr>
        <w:t>. Data are expressed as the mean ± SE (n=7). Different superscript letters in the same row indicate statistical significance at P≤0.05.</w:t>
      </w:r>
    </w:p>
    <w:tbl>
      <w:tblPr>
        <w:tblStyle w:val="PlainTable2"/>
        <w:tblW w:w="11340" w:type="dxa"/>
        <w:tblInd w:w="-527" w:type="dxa"/>
        <w:tblLook w:val="04A0" w:firstRow="1" w:lastRow="0" w:firstColumn="1" w:lastColumn="0" w:noHBand="0" w:noVBand="1"/>
      </w:tblPr>
      <w:tblGrid>
        <w:gridCol w:w="2156"/>
        <w:gridCol w:w="1817"/>
        <w:gridCol w:w="1849"/>
        <w:gridCol w:w="1750"/>
        <w:gridCol w:w="1768"/>
        <w:gridCol w:w="2000"/>
      </w:tblGrid>
      <w:tr w:rsidR="00082438" w14:paraId="197B5150" w14:textId="77777777" w:rsidTr="00EB0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vMerge w:val="restart"/>
          </w:tcPr>
          <w:p w14:paraId="1FA52059" w14:textId="249B8B4A" w:rsidR="00082438" w:rsidRDefault="00082438" w:rsidP="000C0E99">
            <w:pPr>
              <w:spacing w:line="360" w:lineRule="auto"/>
              <w:ind w:left="-450"/>
              <w:jc w:val="center"/>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Parameters</w:t>
            </w:r>
          </w:p>
        </w:tc>
        <w:tc>
          <w:tcPr>
            <w:tcW w:w="9184" w:type="dxa"/>
            <w:gridSpan w:val="5"/>
          </w:tcPr>
          <w:p w14:paraId="02C9F9A8" w14:textId="00AA404E" w:rsidR="00082438" w:rsidRDefault="00082438" w:rsidP="000C0E99">
            <w:pPr>
              <w:spacing w:line="360" w:lineRule="auto"/>
              <w:ind w:left="-45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Experimental groups</w:t>
            </w:r>
          </w:p>
        </w:tc>
      </w:tr>
      <w:tr w:rsidR="00082438" w14:paraId="7AA89785" w14:textId="77777777" w:rsidTr="00EB0411">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156" w:type="dxa"/>
            <w:vMerge/>
          </w:tcPr>
          <w:p w14:paraId="2AEB3525" w14:textId="77777777" w:rsidR="00082438" w:rsidRDefault="00082438" w:rsidP="000C0E99">
            <w:pPr>
              <w:spacing w:line="360" w:lineRule="auto"/>
              <w:ind w:left="-450"/>
              <w:jc w:val="center"/>
              <w:rPr>
                <w:rFonts w:asciiTheme="majorBidi" w:eastAsia="Times New Roman" w:hAnsiTheme="majorBidi" w:cstheme="majorBidi"/>
                <w:color w:val="181818"/>
                <w:sz w:val="24"/>
                <w:szCs w:val="24"/>
              </w:rPr>
            </w:pPr>
          </w:p>
        </w:tc>
        <w:tc>
          <w:tcPr>
            <w:tcW w:w="1817" w:type="dxa"/>
          </w:tcPr>
          <w:p w14:paraId="1C629713" w14:textId="23853A09"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753E27">
              <w:t>control</w:t>
            </w:r>
          </w:p>
        </w:tc>
        <w:tc>
          <w:tcPr>
            <w:tcW w:w="1849" w:type="dxa"/>
          </w:tcPr>
          <w:p w14:paraId="0D4A6416" w14:textId="491029C2"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753E27">
              <w:t>Control corn oil</w:t>
            </w:r>
          </w:p>
        </w:tc>
        <w:tc>
          <w:tcPr>
            <w:tcW w:w="1750" w:type="dxa"/>
          </w:tcPr>
          <w:p w14:paraId="79EE4B99" w14:textId="0C1EE40D"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753E27">
              <w:t>FPN</w:t>
            </w:r>
          </w:p>
        </w:tc>
        <w:tc>
          <w:tcPr>
            <w:tcW w:w="1768" w:type="dxa"/>
          </w:tcPr>
          <w:p w14:paraId="45D721D8" w14:textId="181F81C5"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753E27">
              <w:t>K2Cr2O7</w:t>
            </w:r>
          </w:p>
        </w:tc>
        <w:tc>
          <w:tcPr>
            <w:tcW w:w="2000" w:type="dxa"/>
          </w:tcPr>
          <w:p w14:paraId="693A3FA5" w14:textId="0BC21B24"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753E27">
              <w:t>FPN + K2Cr2O7</w:t>
            </w:r>
          </w:p>
        </w:tc>
      </w:tr>
      <w:tr w:rsidR="00082438" w14:paraId="3C92161D" w14:textId="77777777" w:rsidTr="00EB0411">
        <w:tc>
          <w:tcPr>
            <w:cnfStyle w:val="001000000000" w:firstRow="0" w:lastRow="0" w:firstColumn="1" w:lastColumn="0" w:oddVBand="0" w:evenVBand="0" w:oddHBand="0" w:evenHBand="0" w:firstRowFirstColumn="0" w:firstRowLastColumn="0" w:lastRowFirstColumn="0" w:lastRowLastColumn="0"/>
            <w:tcW w:w="2156" w:type="dxa"/>
          </w:tcPr>
          <w:p w14:paraId="30C9CFD0" w14:textId="5904AE9C" w:rsidR="00082438" w:rsidRDefault="00082438" w:rsidP="000C0E99">
            <w:pPr>
              <w:spacing w:line="360" w:lineRule="auto"/>
              <w:ind w:left="-450"/>
              <w:jc w:val="center"/>
              <w:rPr>
                <w:rFonts w:asciiTheme="majorBidi" w:eastAsia="Times New Roman" w:hAnsiTheme="majorBidi" w:cstheme="majorBidi"/>
                <w:color w:val="181818"/>
                <w:sz w:val="24"/>
                <w:szCs w:val="24"/>
              </w:rPr>
            </w:pPr>
            <w:r>
              <w:rPr>
                <w:rFonts w:asciiTheme="majorBidi" w:eastAsia="Times New Roman" w:hAnsiTheme="majorBidi" w:cstheme="majorBidi"/>
                <w:color w:val="181818"/>
                <w:sz w:val="24"/>
                <w:szCs w:val="24"/>
              </w:rPr>
              <w:t>MDA</w:t>
            </w:r>
          </w:p>
        </w:tc>
        <w:tc>
          <w:tcPr>
            <w:tcW w:w="1817" w:type="dxa"/>
          </w:tcPr>
          <w:p w14:paraId="49363A33" w14:textId="51AED4B7" w:rsidR="00082438" w:rsidRDefault="0025265F"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5265F">
              <w:rPr>
                <w:rFonts w:asciiTheme="majorBidi" w:eastAsia="Times New Roman" w:hAnsiTheme="majorBidi" w:cstheme="majorBidi"/>
                <w:color w:val="181818"/>
                <w:sz w:val="24"/>
                <w:szCs w:val="24"/>
              </w:rPr>
              <w:t>9.42 ± 0.76 c</w:t>
            </w:r>
          </w:p>
        </w:tc>
        <w:tc>
          <w:tcPr>
            <w:tcW w:w="1849" w:type="dxa"/>
          </w:tcPr>
          <w:p w14:paraId="406395FC" w14:textId="271D9894" w:rsidR="00082438" w:rsidRDefault="0025265F"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5265F">
              <w:rPr>
                <w:rFonts w:asciiTheme="majorBidi" w:eastAsia="Times New Roman" w:hAnsiTheme="majorBidi" w:cstheme="majorBidi"/>
                <w:color w:val="181818"/>
                <w:sz w:val="24"/>
                <w:szCs w:val="24"/>
              </w:rPr>
              <w:t>10.54 ± 0.89 c</w:t>
            </w:r>
          </w:p>
        </w:tc>
        <w:tc>
          <w:tcPr>
            <w:tcW w:w="1750" w:type="dxa"/>
          </w:tcPr>
          <w:p w14:paraId="477DCE1F" w14:textId="21E6CD1B" w:rsidR="00082438" w:rsidRDefault="0025265F"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5265F">
              <w:rPr>
                <w:rFonts w:asciiTheme="majorBidi" w:eastAsia="Times New Roman" w:hAnsiTheme="majorBidi" w:cstheme="majorBidi"/>
                <w:color w:val="181818"/>
                <w:sz w:val="24"/>
                <w:szCs w:val="24"/>
              </w:rPr>
              <w:t>19.97 ± 2.55 c</w:t>
            </w:r>
          </w:p>
        </w:tc>
        <w:tc>
          <w:tcPr>
            <w:tcW w:w="1768" w:type="dxa"/>
          </w:tcPr>
          <w:p w14:paraId="4059527B" w14:textId="53244D5B" w:rsidR="00082438" w:rsidRDefault="0025265F"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5265F">
              <w:rPr>
                <w:rFonts w:asciiTheme="majorBidi" w:eastAsia="Times New Roman" w:hAnsiTheme="majorBidi" w:cstheme="majorBidi"/>
                <w:color w:val="181818"/>
                <w:sz w:val="24"/>
                <w:szCs w:val="24"/>
              </w:rPr>
              <w:t>48.43 ± 6.24 b</w:t>
            </w:r>
          </w:p>
        </w:tc>
        <w:tc>
          <w:tcPr>
            <w:tcW w:w="2000" w:type="dxa"/>
          </w:tcPr>
          <w:p w14:paraId="3DBDFCA5" w14:textId="10F8DADC" w:rsidR="00082438" w:rsidRDefault="0025265F"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5265F">
              <w:rPr>
                <w:rFonts w:asciiTheme="majorBidi" w:eastAsia="Times New Roman" w:hAnsiTheme="majorBidi" w:cstheme="majorBidi"/>
                <w:color w:val="181818"/>
                <w:sz w:val="24"/>
                <w:szCs w:val="24"/>
              </w:rPr>
              <w:t>85.64 ± 3.02 a</w:t>
            </w:r>
          </w:p>
        </w:tc>
      </w:tr>
      <w:tr w:rsidR="00082438" w14:paraId="02D55DBC" w14:textId="77777777" w:rsidTr="00EB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tcPr>
          <w:p w14:paraId="4B673E03" w14:textId="07609137" w:rsidR="00082438" w:rsidRDefault="00082438" w:rsidP="000C0E99">
            <w:pPr>
              <w:spacing w:line="360" w:lineRule="auto"/>
              <w:ind w:left="-450"/>
              <w:jc w:val="center"/>
              <w:rPr>
                <w:rFonts w:asciiTheme="majorBidi" w:eastAsia="Times New Roman" w:hAnsiTheme="majorBidi" w:cstheme="majorBidi"/>
                <w:color w:val="181818"/>
                <w:sz w:val="24"/>
                <w:szCs w:val="24"/>
              </w:rPr>
            </w:pPr>
            <w:r>
              <w:rPr>
                <w:rFonts w:asciiTheme="majorBidi" w:eastAsia="Times New Roman" w:hAnsiTheme="majorBidi" w:cstheme="majorBidi"/>
                <w:color w:val="181818"/>
                <w:sz w:val="24"/>
                <w:szCs w:val="24"/>
              </w:rPr>
              <w:t>NO</w:t>
            </w:r>
          </w:p>
        </w:tc>
        <w:tc>
          <w:tcPr>
            <w:tcW w:w="1817" w:type="dxa"/>
          </w:tcPr>
          <w:p w14:paraId="52C2CD02" w14:textId="6B65AE7B"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10.95 ± 0.24 c</w:t>
            </w:r>
          </w:p>
        </w:tc>
        <w:tc>
          <w:tcPr>
            <w:tcW w:w="1849" w:type="dxa"/>
          </w:tcPr>
          <w:p w14:paraId="163FB05A" w14:textId="6DE18342"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9.33 ± 0.28 c</w:t>
            </w:r>
          </w:p>
        </w:tc>
        <w:tc>
          <w:tcPr>
            <w:tcW w:w="1750" w:type="dxa"/>
          </w:tcPr>
          <w:p w14:paraId="245D3261" w14:textId="17CCDAE3"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18.95 ± 2.02 b</w:t>
            </w:r>
          </w:p>
        </w:tc>
        <w:tc>
          <w:tcPr>
            <w:tcW w:w="1768" w:type="dxa"/>
          </w:tcPr>
          <w:p w14:paraId="26628A3B" w14:textId="7FE052B9" w:rsidR="00082438" w:rsidRDefault="00082438"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 xml:space="preserve">19.86 ± 1.62 </w:t>
            </w:r>
            <w:proofErr w:type="spellStart"/>
            <w:proofErr w:type="gramStart"/>
            <w:r w:rsidRPr="00082438">
              <w:rPr>
                <w:rFonts w:asciiTheme="majorBidi" w:eastAsia="Times New Roman" w:hAnsiTheme="majorBidi" w:cstheme="majorBidi"/>
                <w:color w:val="181818"/>
                <w:sz w:val="24"/>
                <w:szCs w:val="24"/>
              </w:rPr>
              <w:t>a,b</w:t>
            </w:r>
            <w:proofErr w:type="spellEnd"/>
            <w:proofErr w:type="gramEnd"/>
          </w:p>
        </w:tc>
        <w:tc>
          <w:tcPr>
            <w:tcW w:w="2000" w:type="dxa"/>
          </w:tcPr>
          <w:p w14:paraId="2D5DCEDA" w14:textId="0E8FBE58" w:rsidR="00082438" w:rsidRDefault="0025265F"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25265F">
              <w:rPr>
                <w:rFonts w:asciiTheme="majorBidi" w:eastAsia="Times New Roman" w:hAnsiTheme="majorBidi" w:cstheme="majorBidi"/>
                <w:color w:val="181818"/>
                <w:sz w:val="24"/>
                <w:szCs w:val="24"/>
              </w:rPr>
              <w:t>23.42 ± 2.23 a</w:t>
            </w:r>
          </w:p>
        </w:tc>
      </w:tr>
      <w:tr w:rsidR="00082438" w14:paraId="3FAEB74F" w14:textId="77777777" w:rsidTr="00EB0411">
        <w:tc>
          <w:tcPr>
            <w:cnfStyle w:val="001000000000" w:firstRow="0" w:lastRow="0" w:firstColumn="1" w:lastColumn="0" w:oddVBand="0" w:evenVBand="0" w:oddHBand="0" w:evenHBand="0" w:firstRowFirstColumn="0" w:firstRowLastColumn="0" w:lastRowFirstColumn="0" w:lastRowLastColumn="0"/>
            <w:tcW w:w="2156" w:type="dxa"/>
          </w:tcPr>
          <w:p w14:paraId="4E79B549" w14:textId="58957272" w:rsidR="00082438" w:rsidRDefault="00082438" w:rsidP="000C0E99">
            <w:pPr>
              <w:spacing w:line="360" w:lineRule="auto"/>
              <w:ind w:left="-450"/>
              <w:jc w:val="center"/>
              <w:rPr>
                <w:rFonts w:asciiTheme="majorBidi" w:eastAsia="Times New Roman" w:hAnsiTheme="majorBidi" w:cstheme="majorBidi"/>
                <w:color w:val="181818"/>
                <w:sz w:val="24"/>
                <w:szCs w:val="24"/>
              </w:rPr>
            </w:pPr>
            <w:r>
              <w:rPr>
                <w:rFonts w:asciiTheme="majorBidi" w:eastAsia="Times New Roman" w:hAnsiTheme="majorBidi" w:cstheme="majorBidi"/>
                <w:color w:val="181818"/>
                <w:sz w:val="24"/>
                <w:szCs w:val="24"/>
              </w:rPr>
              <w:t>TAC</w:t>
            </w:r>
          </w:p>
        </w:tc>
        <w:tc>
          <w:tcPr>
            <w:tcW w:w="1817" w:type="dxa"/>
          </w:tcPr>
          <w:p w14:paraId="2E2C9002" w14:textId="3D925BBE" w:rsidR="00082438" w:rsidRDefault="00082438"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3.89 ± 0.20 a</w:t>
            </w:r>
          </w:p>
        </w:tc>
        <w:tc>
          <w:tcPr>
            <w:tcW w:w="1849" w:type="dxa"/>
          </w:tcPr>
          <w:p w14:paraId="7E9D6913" w14:textId="13FD55E6" w:rsidR="00082438" w:rsidRDefault="00082438"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2.66 ± 0.16 b</w:t>
            </w:r>
          </w:p>
        </w:tc>
        <w:tc>
          <w:tcPr>
            <w:tcW w:w="1750" w:type="dxa"/>
          </w:tcPr>
          <w:p w14:paraId="77D501A0" w14:textId="4C168929" w:rsidR="00082438" w:rsidRDefault="00082438"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1.49 ± 0.22 c</w:t>
            </w:r>
          </w:p>
        </w:tc>
        <w:tc>
          <w:tcPr>
            <w:tcW w:w="1768" w:type="dxa"/>
          </w:tcPr>
          <w:p w14:paraId="41AC3D8D" w14:textId="2A85172C" w:rsidR="00082438" w:rsidRDefault="00082438"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1.32 ± 0.43 c</w:t>
            </w:r>
          </w:p>
        </w:tc>
        <w:tc>
          <w:tcPr>
            <w:tcW w:w="2000" w:type="dxa"/>
          </w:tcPr>
          <w:p w14:paraId="07C22FC1" w14:textId="3BFF20EF" w:rsidR="00082438" w:rsidRDefault="00082438"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082438">
              <w:rPr>
                <w:rFonts w:asciiTheme="majorBidi" w:eastAsia="Times New Roman" w:hAnsiTheme="majorBidi" w:cstheme="majorBidi"/>
                <w:color w:val="181818"/>
                <w:sz w:val="24"/>
                <w:szCs w:val="24"/>
              </w:rPr>
              <w:t>0.75 ± 0.16 c</w:t>
            </w:r>
          </w:p>
        </w:tc>
      </w:tr>
    </w:tbl>
    <w:p w14:paraId="633381CA" w14:textId="77777777" w:rsidR="000B276A" w:rsidRDefault="000B276A" w:rsidP="00FA6001">
      <w:pPr>
        <w:spacing w:line="360" w:lineRule="auto"/>
        <w:ind w:left="-450"/>
        <w:jc w:val="both"/>
        <w:rPr>
          <w:rFonts w:asciiTheme="majorBidi" w:eastAsia="Times New Roman" w:hAnsiTheme="majorBidi" w:cstheme="majorBidi"/>
          <w:color w:val="181818"/>
          <w:sz w:val="24"/>
          <w:szCs w:val="24"/>
        </w:rPr>
      </w:pPr>
    </w:p>
    <w:p w14:paraId="165EA05C" w14:textId="60F5BB90" w:rsidR="009226BC" w:rsidRDefault="000208F9" w:rsidP="00FA6001">
      <w:pPr>
        <w:spacing w:line="360" w:lineRule="auto"/>
        <w:ind w:left="-450"/>
        <w:jc w:val="both"/>
        <w:rPr>
          <w:rFonts w:asciiTheme="majorBidi" w:eastAsia="Times New Roman" w:hAnsiTheme="majorBidi" w:cstheme="majorBidi"/>
          <w:b/>
          <w:bCs/>
          <w:color w:val="181818"/>
          <w:sz w:val="24"/>
          <w:szCs w:val="24"/>
        </w:rPr>
      </w:pPr>
      <w:r w:rsidRPr="000208F9">
        <w:rPr>
          <w:rFonts w:asciiTheme="majorBidi" w:eastAsia="Times New Roman" w:hAnsiTheme="majorBidi" w:cstheme="majorBidi"/>
          <w:b/>
          <w:bCs/>
          <w:color w:val="181818"/>
          <w:sz w:val="24"/>
          <w:szCs w:val="24"/>
        </w:rPr>
        <w:t>3.5.</w:t>
      </w:r>
      <w:r w:rsidRPr="000208F9">
        <w:rPr>
          <w:b/>
          <w:bCs/>
        </w:rPr>
        <w:t xml:space="preserve"> </w:t>
      </w:r>
      <w:r w:rsidRPr="000208F9">
        <w:rPr>
          <w:rFonts w:asciiTheme="majorBidi" w:eastAsia="Times New Roman" w:hAnsiTheme="majorBidi" w:cstheme="majorBidi"/>
          <w:b/>
          <w:bCs/>
          <w:color w:val="181818"/>
          <w:sz w:val="24"/>
          <w:szCs w:val="24"/>
        </w:rPr>
        <w:t>Tumor necrosis factor alpha (TNF-α) and interleukin-6 (IL-6)</w:t>
      </w:r>
      <w:r>
        <w:rPr>
          <w:rFonts w:asciiTheme="majorBidi" w:eastAsia="Times New Roman" w:hAnsiTheme="majorBidi" w:cstheme="majorBidi"/>
          <w:b/>
          <w:bCs/>
          <w:color w:val="181818"/>
          <w:sz w:val="24"/>
          <w:szCs w:val="24"/>
        </w:rPr>
        <w:t>.</w:t>
      </w:r>
    </w:p>
    <w:p w14:paraId="5B02D95C" w14:textId="15840D0A" w:rsidR="00E632A1" w:rsidRDefault="00E632A1" w:rsidP="00FA6001">
      <w:pPr>
        <w:spacing w:line="360" w:lineRule="auto"/>
        <w:ind w:left="-450"/>
        <w:jc w:val="both"/>
        <w:rPr>
          <w:rFonts w:asciiTheme="majorBidi" w:hAnsiTheme="majorBidi" w:cstheme="majorBidi"/>
          <w:sz w:val="28"/>
          <w:szCs w:val="28"/>
          <w:lang w:bidi="ar-EG"/>
        </w:rPr>
      </w:pPr>
      <w:r w:rsidRPr="00E632A1">
        <w:rPr>
          <w:rFonts w:asciiTheme="majorBidi" w:hAnsiTheme="majorBidi" w:cstheme="majorBidi"/>
          <w:sz w:val="24"/>
          <w:szCs w:val="24"/>
          <w:lang w:bidi="ar-EG"/>
        </w:rPr>
        <w:t>The</w:t>
      </w:r>
      <w:r w:rsidRPr="00E632A1">
        <w:rPr>
          <w:sz w:val="20"/>
          <w:szCs w:val="20"/>
        </w:rPr>
        <w:t xml:space="preserve"> </w:t>
      </w:r>
      <w:r w:rsidRPr="00E632A1">
        <w:rPr>
          <w:rFonts w:asciiTheme="majorBidi" w:hAnsiTheme="majorBidi" w:cstheme="majorBidi"/>
          <w:sz w:val="24"/>
          <w:szCs w:val="24"/>
          <w:lang w:bidi="ar-EG"/>
        </w:rPr>
        <w:t>expression of inflammatory cytokines (TNF-α) and IL-6) in liver tissue were significantly increased</w:t>
      </w:r>
      <w:r w:rsidR="000B276A">
        <w:rPr>
          <w:rFonts w:asciiTheme="majorBidi" w:hAnsiTheme="majorBidi" w:cstheme="majorBidi"/>
          <w:sz w:val="24"/>
          <w:szCs w:val="24"/>
          <w:lang w:bidi="ar-EG"/>
        </w:rPr>
        <w:t xml:space="preserve"> </w:t>
      </w:r>
      <w:r w:rsidR="000B276A" w:rsidRPr="000B276A">
        <w:rPr>
          <w:rFonts w:asciiTheme="majorBidi" w:hAnsiTheme="majorBidi" w:cstheme="majorBidi"/>
          <w:sz w:val="24"/>
          <w:szCs w:val="24"/>
          <w:lang w:bidi="ar-EG"/>
        </w:rPr>
        <w:t xml:space="preserve">(P≤0.05) </w:t>
      </w:r>
      <w:r w:rsidR="000B276A" w:rsidRPr="00E632A1">
        <w:rPr>
          <w:sz w:val="20"/>
          <w:szCs w:val="20"/>
        </w:rPr>
        <w:t>in</w:t>
      </w:r>
      <w:r w:rsidRPr="00E632A1">
        <w:rPr>
          <w:rFonts w:asciiTheme="majorBidi" w:hAnsiTheme="majorBidi" w:cstheme="majorBidi"/>
          <w:sz w:val="24"/>
          <w:szCs w:val="24"/>
          <w:lang w:bidi="ar-EG"/>
        </w:rPr>
        <w:t xml:space="preserve"> response to </w:t>
      </w:r>
      <w:bookmarkStart w:id="6" w:name="_Hlk42197142"/>
      <w:r w:rsidRPr="00E632A1">
        <w:rPr>
          <w:rFonts w:asciiTheme="majorBidi" w:hAnsiTheme="majorBidi" w:cstheme="majorBidi"/>
          <w:sz w:val="24"/>
          <w:szCs w:val="24"/>
          <w:lang w:bidi="ar-EG"/>
        </w:rPr>
        <w:t>Fipronil (FPN) and/or Potassium dichromate</w:t>
      </w:r>
      <w:bookmarkEnd w:id="6"/>
      <w:r w:rsidRPr="00E632A1">
        <w:rPr>
          <w:rFonts w:asciiTheme="majorBidi" w:hAnsiTheme="majorBidi" w:cstheme="majorBidi"/>
          <w:sz w:val="24"/>
          <w:szCs w:val="24"/>
          <w:lang w:bidi="ar-EG"/>
        </w:rPr>
        <w:t xml:space="preserve"> compared to the control</w:t>
      </w:r>
      <w:r>
        <w:rPr>
          <w:rFonts w:asciiTheme="majorBidi" w:hAnsiTheme="majorBidi" w:cstheme="majorBidi"/>
          <w:sz w:val="28"/>
          <w:szCs w:val="28"/>
          <w:lang w:bidi="ar-EG"/>
        </w:rPr>
        <w:t>.</w:t>
      </w:r>
    </w:p>
    <w:p w14:paraId="05F4F9C0" w14:textId="27F0DE5C" w:rsidR="00984438" w:rsidRPr="00984438" w:rsidRDefault="00984438" w:rsidP="00FA6001">
      <w:pPr>
        <w:spacing w:line="360" w:lineRule="auto"/>
        <w:ind w:left="-450"/>
        <w:jc w:val="both"/>
        <w:rPr>
          <w:rFonts w:asciiTheme="majorBidi" w:eastAsia="Times New Roman" w:hAnsiTheme="majorBidi" w:cstheme="majorBidi"/>
          <w:color w:val="181818"/>
          <w:sz w:val="24"/>
          <w:szCs w:val="24"/>
        </w:rPr>
      </w:pPr>
      <w:r w:rsidRPr="008F1F7D">
        <w:rPr>
          <w:rFonts w:asciiTheme="majorBidi" w:eastAsia="Times New Roman" w:hAnsiTheme="majorBidi" w:cstheme="majorBidi"/>
          <w:color w:val="181818"/>
          <w:sz w:val="24"/>
          <w:szCs w:val="24"/>
        </w:rPr>
        <w:t xml:space="preserve">Table </w:t>
      </w:r>
      <w:r w:rsidR="000C0E99">
        <w:rPr>
          <w:rFonts w:asciiTheme="majorBidi" w:eastAsia="Times New Roman" w:hAnsiTheme="majorBidi" w:cstheme="majorBidi" w:hint="cs"/>
          <w:color w:val="181818"/>
          <w:sz w:val="24"/>
          <w:szCs w:val="24"/>
          <w:rtl/>
        </w:rPr>
        <w:t>3</w:t>
      </w:r>
      <w:r w:rsidRPr="008F1F7D">
        <w:rPr>
          <w:rFonts w:asciiTheme="majorBidi" w:eastAsia="Times New Roman" w:hAnsiTheme="majorBidi" w:cstheme="majorBidi"/>
          <w:color w:val="181818"/>
          <w:sz w:val="24"/>
          <w:szCs w:val="24"/>
        </w:rPr>
        <w:t xml:space="preserve">: Effect of oral administration of Fipronil (FPN) and Potassium dichromate (K2Cr2O7) and their combinations on </w:t>
      </w:r>
      <w:r>
        <w:rPr>
          <w:rFonts w:asciiTheme="majorBidi" w:eastAsia="Times New Roman" w:hAnsiTheme="majorBidi" w:cstheme="majorBidi"/>
          <w:color w:val="181818"/>
          <w:sz w:val="24"/>
          <w:szCs w:val="24"/>
        </w:rPr>
        <w:t>inflammatory cytokines</w:t>
      </w:r>
      <w:r w:rsidRPr="008F1F7D">
        <w:rPr>
          <w:rFonts w:asciiTheme="majorBidi" w:eastAsia="Times New Roman" w:hAnsiTheme="majorBidi" w:cstheme="majorBidi"/>
          <w:color w:val="181818"/>
          <w:sz w:val="24"/>
          <w:szCs w:val="24"/>
        </w:rPr>
        <w:t>. Data are expressed as the mean ± SE (n=7). Different superscript letters in the same row indicate statistical significance at P≤0.05.</w:t>
      </w:r>
    </w:p>
    <w:p w14:paraId="7065E2F5" w14:textId="77777777" w:rsidR="00984438" w:rsidRDefault="00984438" w:rsidP="00FA6001">
      <w:pPr>
        <w:spacing w:line="360" w:lineRule="auto"/>
        <w:ind w:left="-450"/>
        <w:jc w:val="both"/>
        <w:rPr>
          <w:rFonts w:asciiTheme="majorBidi" w:hAnsiTheme="majorBidi" w:cstheme="majorBidi"/>
          <w:sz w:val="28"/>
          <w:szCs w:val="28"/>
          <w:lang w:bidi="ar-EG"/>
        </w:rPr>
      </w:pPr>
    </w:p>
    <w:tbl>
      <w:tblPr>
        <w:tblStyle w:val="PlainTable2"/>
        <w:tblW w:w="11205" w:type="dxa"/>
        <w:tblInd w:w="-495" w:type="dxa"/>
        <w:tblLook w:val="04A0" w:firstRow="1" w:lastRow="0" w:firstColumn="1" w:lastColumn="0" w:noHBand="0" w:noVBand="1"/>
      </w:tblPr>
      <w:tblGrid>
        <w:gridCol w:w="2021"/>
        <w:gridCol w:w="1796"/>
        <w:gridCol w:w="1886"/>
        <w:gridCol w:w="1705"/>
        <w:gridCol w:w="1797"/>
        <w:gridCol w:w="2000"/>
      </w:tblGrid>
      <w:tr w:rsidR="00F04712" w14:paraId="1E069C0B" w14:textId="41006F9D" w:rsidTr="00EB0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dxa"/>
            <w:vMerge w:val="restart"/>
          </w:tcPr>
          <w:p w14:paraId="3BEB918C" w14:textId="6D130ABF" w:rsidR="00F04712" w:rsidRDefault="00F04712" w:rsidP="000C0E99">
            <w:pPr>
              <w:spacing w:line="360" w:lineRule="auto"/>
              <w:ind w:left="-450"/>
              <w:jc w:val="center"/>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Parameters</w:t>
            </w:r>
          </w:p>
        </w:tc>
        <w:tc>
          <w:tcPr>
            <w:tcW w:w="9184" w:type="dxa"/>
            <w:gridSpan w:val="5"/>
          </w:tcPr>
          <w:p w14:paraId="48C6B812" w14:textId="19B43DDD" w:rsidR="00F04712" w:rsidRDefault="00F04712" w:rsidP="000C0E99">
            <w:pPr>
              <w:spacing w:line="360" w:lineRule="auto"/>
              <w:ind w:left="-45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Experimental groups</w:t>
            </w:r>
          </w:p>
        </w:tc>
      </w:tr>
      <w:tr w:rsidR="00F04712" w14:paraId="2B44F66C" w14:textId="0A9062CF" w:rsidTr="00EB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dxa"/>
            <w:vMerge/>
          </w:tcPr>
          <w:p w14:paraId="7E9D21CB" w14:textId="77777777" w:rsidR="00F04712" w:rsidRDefault="00F04712" w:rsidP="000C0E99">
            <w:pPr>
              <w:spacing w:line="360" w:lineRule="auto"/>
              <w:ind w:left="-450"/>
              <w:jc w:val="center"/>
              <w:rPr>
                <w:rFonts w:asciiTheme="majorBidi" w:eastAsia="Times New Roman" w:hAnsiTheme="majorBidi" w:cstheme="majorBidi"/>
                <w:color w:val="181818"/>
                <w:sz w:val="24"/>
                <w:szCs w:val="24"/>
              </w:rPr>
            </w:pPr>
          </w:p>
        </w:tc>
        <w:tc>
          <w:tcPr>
            <w:tcW w:w="1796" w:type="dxa"/>
          </w:tcPr>
          <w:p w14:paraId="6D2653BE" w14:textId="73F83838"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9436E0">
              <w:t>control</w:t>
            </w:r>
          </w:p>
        </w:tc>
        <w:tc>
          <w:tcPr>
            <w:tcW w:w="1886" w:type="dxa"/>
          </w:tcPr>
          <w:p w14:paraId="7267888C" w14:textId="1491B595"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9436E0">
              <w:t>Control corn oil</w:t>
            </w:r>
          </w:p>
        </w:tc>
        <w:tc>
          <w:tcPr>
            <w:tcW w:w="1705" w:type="dxa"/>
          </w:tcPr>
          <w:p w14:paraId="08EE4BB0" w14:textId="34EFC4B6"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9436E0">
              <w:t>FPN</w:t>
            </w:r>
          </w:p>
        </w:tc>
        <w:tc>
          <w:tcPr>
            <w:tcW w:w="1797" w:type="dxa"/>
          </w:tcPr>
          <w:p w14:paraId="38DA56E9" w14:textId="6D5A3AB4"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9436E0">
              <w:t>K2Cr2O7</w:t>
            </w:r>
          </w:p>
        </w:tc>
        <w:tc>
          <w:tcPr>
            <w:tcW w:w="2000" w:type="dxa"/>
          </w:tcPr>
          <w:p w14:paraId="602B51A0" w14:textId="398AFB42"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9436E0">
              <w:t>FPN + K2Cr2O7</w:t>
            </w:r>
          </w:p>
        </w:tc>
      </w:tr>
      <w:tr w:rsidR="00F04712" w14:paraId="29F42D7D" w14:textId="78E74A54" w:rsidTr="00EB0411">
        <w:tc>
          <w:tcPr>
            <w:cnfStyle w:val="001000000000" w:firstRow="0" w:lastRow="0" w:firstColumn="1" w:lastColumn="0" w:oddVBand="0" w:evenVBand="0" w:oddHBand="0" w:evenHBand="0" w:firstRowFirstColumn="0" w:firstRowLastColumn="0" w:lastRowFirstColumn="0" w:lastRowLastColumn="0"/>
            <w:tcW w:w="2021" w:type="dxa"/>
          </w:tcPr>
          <w:p w14:paraId="0FAE558B" w14:textId="05B42F03" w:rsidR="00F04712" w:rsidRDefault="00F04712" w:rsidP="000C0E99">
            <w:pPr>
              <w:spacing w:line="360" w:lineRule="auto"/>
              <w:ind w:left="-450"/>
              <w:jc w:val="center"/>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TNF-α</w:t>
            </w:r>
          </w:p>
        </w:tc>
        <w:tc>
          <w:tcPr>
            <w:tcW w:w="1796" w:type="dxa"/>
          </w:tcPr>
          <w:p w14:paraId="2E1473D6" w14:textId="5BC74CED" w:rsidR="00F04712" w:rsidRDefault="002A2A06"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A2A06">
              <w:rPr>
                <w:rFonts w:asciiTheme="majorBidi" w:eastAsia="Times New Roman" w:hAnsiTheme="majorBidi" w:cstheme="majorBidi"/>
                <w:color w:val="181818"/>
                <w:sz w:val="24"/>
                <w:szCs w:val="24"/>
              </w:rPr>
              <w:t>14.78 ± 1.70 d</w:t>
            </w:r>
          </w:p>
        </w:tc>
        <w:tc>
          <w:tcPr>
            <w:tcW w:w="1886" w:type="dxa"/>
          </w:tcPr>
          <w:p w14:paraId="61ACB760" w14:textId="649D3E76" w:rsidR="00F04712" w:rsidRDefault="002A2A06"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A2A06">
              <w:rPr>
                <w:rFonts w:asciiTheme="majorBidi" w:eastAsia="Times New Roman" w:hAnsiTheme="majorBidi" w:cstheme="majorBidi"/>
                <w:color w:val="181818"/>
                <w:sz w:val="24"/>
                <w:szCs w:val="24"/>
              </w:rPr>
              <w:t>17.04 ± 1.85 d</w:t>
            </w:r>
          </w:p>
        </w:tc>
        <w:tc>
          <w:tcPr>
            <w:tcW w:w="1705" w:type="dxa"/>
          </w:tcPr>
          <w:p w14:paraId="3A03C786" w14:textId="07830559" w:rsidR="00F04712" w:rsidRDefault="002A2A06"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A2A06">
              <w:rPr>
                <w:rFonts w:asciiTheme="majorBidi" w:eastAsia="Times New Roman" w:hAnsiTheme="majorBidi" w:cstheme="majorBidi"/>
                <w:color w:val="181818"/>
                <w:sz w:val="24"/>
                <w:szCs w:val="24"/>
              </w:rPr>
              <w:t>44.23 ± 4.44 c</w:t>
            </w:r>
          </w:p>
        </w:tc>
        <w:tc>
          <w:tcPr>
            <w:tcW w:w="1797" w:type="dxa"/>
          </w:tcPr>
          <w:p w14:paraId="3E0A3DDD" w14:textId="5D6FF1AB" w:rsidR="00F04712" w:rsidRDefault="002A2A06"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A2A06">
              <w:rPr>
                <w:rFonts w:asciiTheme="majorBidi" w:eastAsia="Times New Roman" w:hAnsiTheme="majorBidi" w:cstheme="majorBidi"/>
                <w:color w:val="181818"/>
                <w:sz w:val="24"/>
                <w:szCs w:val="24"/>
              </w:rPr>
              <w:t>74.94 ± 6.99 b</w:t>
            </w:r>
          </w:p>
        </w:tc>
        <w:tc>
          <w:tcPr>
            <w:tcW w:w="2000" w:type="dxa"/>
          </w:tcPr>
          <w:p w14:paraId="5C1B653C" w14:textId="62C73ABB" w:rsidR="00F04712" w:rsidRDefault="002A2A06" w:rsidP="000C0E99">
            <w:pPr>
              <w:spacing w:line="360" w:lineRule="auto"/>
              <w:ind w:left="-45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181818"/>
                <w:sz w:val="24"/>
                <w:szCs w:val="24"/>
              </w:rPr>
            </w:pPr>
            <w:r w:rsidRPr="002A2A06">
              <w:rPr>
                <w:rFonts w:asciiTheme="majorBidi" w:eastAsia="Times New Roman" w:hAnsiTheme="majorBidi" w:cstheme="majorBidi"/>
                <w:color w:val="181818"/>
                <w:sz w:val="24"/>
                <w:szCs w:val="24"/>
              </w:rPr>
              <w:t>141.00 ± 6.14 a</w:t>
            </w:r>
          </w:p>
        </w:tc>
      </w:tr>
      <w:tr w:rsidR="00F04712" w14:paraId="17DA87C0" w14:textId="22079E38" w:rsidTr="00EB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dxa"/>
          </w:tcPr>
          <w:p w14:paraId="1781E4F6" w14:textId="3F25F2B8" w:rsidR="00F04712" w:rsidRDefault="00F04712" w:rsidP="000C0E99">
            <w:pPr>
              <w:spacing w:line="360" w:lineRule="auto"/>
              <w:ind w:left="-450"/>
              <w:jc w:val="center"/>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IL-6</w:t>
            </w:r>
          </w:p>
        </w:tc>
        <w:tc>
          <w:tcPr>
            <w:tcW w:w="1796" w:type="dxa"/>
          </w:tcPr>
          <w:p w14:paraId="6D396EF5" w14:textId="082D5A7E"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2.85 ± 0.54 c</w:t>
            </w:r>
          </w:p>
        </w:tc>
        <w:tc>
          <w:tcPr>
            <w:tcW w:w="1886" w:type="dxa"/>
          </w:tcPr>
          <w:p w14:paraId="4F6292AE" w14:textId="326CE150"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1.29 ± 0.05 c</w:t>
            </w:r>
          </w:p>
        </w:tc>
        <w:tc>
          <w:tcPr>
            <w:tcW w:w="1705" w:type="dxa"/>
          </w:tcPr>
          <w:p w14:paraId="13A209C9" w14:textId="10E42516"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3.31 ± 0.23 c</w:t>
            </w:r>
          </w:p>
        </w:tc>
        <w:tc>
          <w:tcPr>
            <w:tcW w:w="1797" w:type="dxa"/>
          </w:tcPr>
          <w:p w14:paraId="4A5E1F10" w14:textId="014A0F2D"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6.96 ± 0.88 b</w:t>
            </w:r>
          </w:p>
        </w:tc>
        <w:tc>
          <w:tcPr>
            <w:tcW w:w="2000" w:type="dxa"/>
          </w:tcPr>
          <w:p w14:paraId="194D81A5" w14:textId="0A2A106C" w:rsidR="00F04712" w:rsidRDefault="00F04712" w:rsidP="000C0E99">
            <w:pPr>
              <w:spacing w:line="360" w:lineRule="auto"/>
              <w:ind w:left="-45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181818"/>
                <w:sz w:val="24"/>
                <w:szCs w:val="24"/>
              </w:rPr>
            </w:pPr>
            <w:r w:rsidRPr="00F04712">
              <w:rPr>
                <w:rFonts w:asciiTheme="majorBidi" w:eastAsia="Times New Roman" w:hAnsiTheme="majorBidi" w:cstheme="majorBidi"/>
                <w:color w:val="181818"/>
                <w:sz w:val="24"/>
                <w:szCs w:val="24"/>
              </w:rPr>
              <w:t>12.50 ± 1.39 a</w:t>
            </w:r>
          </w:p>
        </w:tc>
      </w:tr>
    </w:tbl>
    <w:p w14:paraId="31B559F3" w14:textId="70E222BF" w:rsidR="0005343C" w:rsidRDefault="0005343C" w:rsidP="00FA6001">
      <w:pPr>
        <w:spacing w:line="360" w:lineRule="auto"/>
        <w:ind w:left="-450"/>
        <w:jc w:val="both"/>
        <w:rPr>
          <w:rFonts w:asciiTheme="majorBidi" w:hAnsiTheme="majorBidi" w:cstheme="majorBidi"/>
          <w:sz w:val="24"/>
          <w:szCs w:val="24"/>
          <w:rtl/>
          <w:lang w:bidi="ar-EG"/>
        </w:rPr>
      </w:pPr>
    </w:p>
    <w:p w14:paraId="2E5BDA58" w14:textId="77777777" w:rsidR="00FA6001" w:rsidRDefault="00FA6001" w:rsidP="00FA6001">
      <w:pPr>
        <w:spacing w:line="360" w:lineRule="auto"/>
        <w:ind w:left="-450"/>
        <w:jc w:val="both"/>
        <w:rPr>
          <w:rFonts w:asciiTheme="majorBidi" w:hAnsiTheme="majorBidi" w:cstheme="majorBidi"/>
          <w:sz w:val="24"/>
          <w:szCs w:val="24"/>
          <w:lang w:bidi="ar-EG"/>
        </w:rPr>
      </w:pPr>
    </w:p>
    <w:p w14:paraId="7EB2BA21" w14:textId="082B585F" w:rsidR="000B6976" w:rsidRDefault="000B6976" w:rsidP="00FA6001">
      <w:pPr>
        <w:tabs>
          <w:tab w:val="right" w:pos="8222"/>
        </w:tabs>
        <w:spacing w:line="360" w:lineRule="auto"/>
        <w:ind w:left="-450" w:right="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4</w:t>
      </w:r>
      <w:r w:rsidRPr="005A65D7">
        <w:rPr>
          <w:rFonts w:ascii="Times New Roman" w:hAnsi="Times New Roman" w:cs="Times New Roman"/>
          <w:b/>
          <w:bCs/>
          <w:color w:val="000000" w:themeColor="text1"/>
          <w:sz w:val="24"/>
          <w:szCs w:val="24"/>
        </w:rPr>
        <w:t>. DISCUSSION</w:t>
      </w:r>
      <w:r>
        <w:rPr>
          <w:rFonts w:ascii="Times New Roman" w:hAnsi="Times New Roman" w:cs="Times New Roman"/>
          <w:b/>
          <w:bCs/>
          <w:color w:val="000000" w:themeColor="text1"/>
          <w:sz w:val="24"/>
          <w:szCs w:val="24"/>
        </w:rPr>
        <w:t>:</w:t>
      </w:r>
    </w:p>
    <w:p w14:paraId="775333C5" w14:textId="3D404C5F" w:rsidR="00BC0008" w:rsidRDefault="003E47A0" w:rsidP="00FA6001">
      <w:pPr>
        <w:tabs>
          <w:tab w:val="right" w:pos="8222"/>
        </w:tabs>
        <w:spacing w:line="360" w:lineRule="auto"/>
        <w:ind w:left="-450" w:right="84"/>
        <w:jc w:val="both"/>
        <w:rPr>
          <w:rFonts w:asciiTheme="majorBidi" w:hAnsiTheme="majorBidi" w:cstheme="majorBidi"/>
          <w:sz w:val="24"/>
          <w:szCs w:val="24"/>
          <w:lang w:bidi="ar-EG"/>
        </w:rPr>
      </w:pPr>
      <w:r w:rsidRPr="00875013">
        <w:rPr>
          <w:rFonts w:ascii="Times New Roman" w:hAnsi="Times New Roman" w:cs="Times New Roman"/>
          <w:color w:val="000000" w:themeColor="text1"/>
          <w:sz w:val="24"/>
          <w:szCs w:val="24"/>
        </w:rPr>
        <w:t xml:space="preserve">FPN </w:t>
      </w:r>
      <w:r w:rsidR="008A7597" w:rsidRPr="00875013">
        <w:rPr>
          <w:rFonts w:ascii="Times New Roman" w:hAnsi="Times New Roman" w:cs="Times New Roman"/>
          <w:color w:val="000000" w:themeColor="text1"/>
          <w:sz w:val="24"/>
          <w:szCs w:val="24"/>
        </w:rPr>
        <w:t>is</w:t>
      </w:r>
      <w:r w:rsidR="008A7597" w:rsidRPr="00875013">
        <w:rPr>
          <w:sz w:val="24"/>
          <w:szCs w:val="24"/>
        </w:rPr>
        <w:t xml:space="preserve"> </w:t>
      </w:r>
      <w:r w:rsidR="008A7597" w:rsidRPr="00875013">
        <w:rPr>
          <w:rFonts w:ascii="Times New Roman" w:hAnsi="Times New Roman" w:cs="Times New Roman"/>
          <w:color w:val="000000" w:themeColor="text1"/>
          <w:sz w:val="24"/>
          <w:szCs w:val="24"/>
        </w:rPr>
        <w:t xml:space="preserve">commonly used insecticide </w:t>
      </w:r>
      <w:r w:rsidRPr="00875013">
        <w:rPr>
          <w:rFonts w:ascii="Times New Roman" w:hAnsi="Times New Roman" w:cs="Times New Roman"/>
          <w:color w:val="000000" w:themeColor="text1"/>
          <w:sz w:val="24"/>
          <w:szCs w:val="24"/>
        </w:rPr>
        <w:t>in agriculture and for public health purposes le</w:t>
      </w:r>
      <w:r w:rsidR="008A7597" w:rsidRPr="00875013">
        <w:rPr>
          <w:rFonts w:ascii="Times New Roman" w:hAnsi="Times New Roman" w:cs="Times New Roman"/>
          <w:color w:val="000000" w:themeColor="text1"/>
          <w:sz w:val="24"/>
          <w:szCs w:val="24"/>
        </w:rPr>
        <w:t>a</w:t>
      </w:r>
      <w:r w:rsidRPr="00875013">
        <w:rPr>
          <w:rFonts w:ascii="Times New Roman" w:hAnsi="Times New Roman" w:cs="Times New Roman"/>
          <w:color w:val="000000" w:themeColor="text1"/>
          <w:sz w:val="24"/>
          <w:szCs w:val="24"/>
        </w:rPr>
        <w:t xml:space="preserve">d to </w:t>
      </w:r>
      <w:r w:rsidR="008A7597" w:rsidRPr="00875013">
        <w:rPr>
          <w:rFonts w:ascii="Times New Roman" w:hAnsi="Times New Roman" w:cs="Times New Roman"/>
          <w:color w:val="000000" w:themeColor="text1"/>
          <w:sz w:val="24"/>
          <w:szCs w:val="24"/>
        </w:rPr>
        <w:t xml:space="preserve">more toxic </w:t>
      </w:r>
      <w:r w:rsidRPr="00875013">
        <w:rPr>
          <w:rFonts w:ascii="Times New Roman" w:hAnsi="Times New Roman" w:cs="Times New Roman"/>
          <w:color w:val="000000" w:themeColor="text1"/>
          <w:sz w:val="24"/>
          <w:szCs w:val="24"/>
        </w:rPr>
        <w:t>effect in many nontarget species, including humans</w:t>
      </w:r>
      <w:r w:rsidR="008A7597" w:rsidRPr="00875013">
        <w:rPr>
          <w:rFonts w:ascii="Times New Roman" w:hAnsi="Times New Roman" w:cs="Times New Roman"/>
          <w:color w:val="000000" w:themeColor="text1"/>
          <w:sz w:val="24"/>
          <w:szCs w:val="24"/>
        </w:rPr>
        <w:t>.</w:t>
      </w:r>
      <w:r w:rsidR="00875013" w:rsidRPr="00875013">
        <w:rPr>
          <w:rFonts w:asciiTheme="majorBidi" w:hAnsiTheme="majorBidi" w:cstheme="majorBidi"/>
          <w:sz w:val="24"/>
          <w:szCs w:val="24"/>
          <w:lang w:bidi="ar-EG"/>
        </w:rPr>
        <w:t xml:space="preserve"> Potassium dichromate is one of the most toxic chemical compounds Commonly released in the environment as a result of industrial and agricultural practices. Additionally, it is a common pollutant in aquatic and terrestrial ecosystems </w:t>
      </w:r>
      <w:r w:rsidR="00875013" w:rsidRPr="007353B3">
        <w:rPr>
          <w:rFonts w:asciiTheme="majorBidi" w:hAnsiTheme="majorBidi" w:cstheme="majorBidi"/>
          <w:b/>
          <w:bCs/>
          <w:sz w:val="24"/>
          <w:szCs w:val="24"/>
          <w:lang w:bidi="ar-EG"/>
        </w:rPr>
        <w:fldChar w:fldCharType="begin" w:fldLock="1"/>
      </w:r>
      <w:r w:rsidR="007353B3" w:rsidRPr="007353B3">
        <w:rPr>
          <w:rFonts w:asciiTheme="majorBidi" w:hAnsiTheme="majorBidi" w:cstheme="majorBidi"/>
          <w:b/>
          <w:bCs/>
          <w:sz w:val="24"/>
          <w:szCs w:val="24"/>
          <w:lang w:bidi="ar-EG"/>
        </w:rPr>
        <w:instrText>ADDIN CSL_CITATION {"citationItems":[{"id":"ITEM-1","itemData":{"DOI":"10.1590/s0103-64402003000300011","ISSN":"18064760","abstract":"Several formulations of alternative alloys have been proposed for the substitution of gold-based alloys used in Dentistry. Recently, a Ni-Cr-Ti-based alloy has been introduced. The purpose of this work was to verify the marginal adaptation obtained with one-piece superstructures for implant-supported prostheses obtained in Ni-Cr-Ti alloy, compared to a semi-noble alloy Pd-Ag. Eight superstructures for each alloy were produced over 4 implants in the anterior region of the mandible. The superstructures were placed in a torquemeter and the fixation screw of implant #1 was tightened with a 20 Ncm load with the others loosened (Sheffield test). The unfitness (in mm) was measured using a three-dimensional optical measurer in each implant, in the buccal and lingual aspects. The obtained data were submitted to statistical analysis by the analysis of variance and Tukey's test at 5% level. Significant differences were found for the factors material (p&lt; or =0.05), with Ni-Cr-Ti pieces better than Pd-Ag ones, and implants (p&lt; or =0.01). There were no significant differences for the factor position and interactions among factors (p&gt;0.05). Based on the analysis of the data, it is possible to conclude that the Ni-Cr-Ti alloy makes possible the obtainment of one-piece implant-supported superstructures with a smaller misfit compared to the one obtained in Pd-Ag alloy, traditionally indicated for this situation. Additional tests may verify the superiority of the Ni-Cr-Ti alloy.","author":[{"dropping-particle":"da","family":"Costa","given":"Heloisa Módena Ferreira","non-dropping-particle":"","parse-names":false,"suffix":""},{"dropping-particle":"","family":"Rodrigues","given":"Renata Cristina Silveira","non-dropping-particle":"","parse-names":false,"suffix":""},{"dropping-particle":"de","family":"Mattos","given":"Maria da Glória Chiarello","non-dropping-particle":"","parse-names":false,"suffix":""},{"dropping-particle":"","family":"Ribeiro","given":"Ricardo Faria","non-dropping-particle":"","parse-names":false,"suffix":""}],"container-title":"Brazilian dental journal","id":"ITEM-1","issue":"3","issued":{"date-parts":[["2003"]]},"page":"197-202","title":"Evaluation of the adaptation interface of one-piece implant-supported superstructures obtained in Ni-Cr-Ti and Pd-Ag alloys.","type":"article-journal","volume":"14"},"uris":["http://www.mendeley.com/documents/?uuid=2bb63267-8f80-4c66-ac0c-761256e1a829"]}],"mendeley":{"formattedCitation":"(H. M. F. da Costa, Rodrigues, Mattos, &amp; Ribeiro, 2003)","manualFormatting":"( Costa et al., 2003)","plainTextFormattedCitation":"(H. M. F. da Costa, Rodrigues, Mattos, &amp; Ribeiro, 2003)","previouslyFormattedCitation":"(H. M. F. da Costa, Rodrigues, Mattos, &amp; Ribeiro, 2003)"},"properties":{"noteIndex":0},"schema":"https://github.com/citation-style-language/schema/raw/master/csl-citation.json"}</w:instrText>
      </w:r>
      <w:r w:rsidR="00875013" w:rsidRPr="007353B3">
        <w:rPr>
          <w:rFonts w:asciiTheme="majorBidi" w:hAnsiTheme="majorBidi" w:cstheme="majorBidi"/>
          <w:b/>
          <w:bCs/>
          <w:sz w:val="24"/>
          <w:szCs w:val="24"/>
          <w:lang w:bidi="ar-EG"/>
        </w:rPr>
        <w:fldChar w:fldCharType="separate"/>
      </w:r>
      <w:r w:rsidR="006A64CB" w:rsidRPr="007353B3">
        <w:rPr>
          <w:rFonts w:asciiTheme="majorBidi" w:hAnsiTheme="majorBidi" w:cstheme="majorBidi"/>
          <w:b/>
          <w:bCs/>
          <w:noProof/>
          <w:sz w:val="24"/>
          <w:szCs w:val="24"/>
          <w:lang w:bidi="ar-EG"/>
        </w:rPr>
        <w:t>( Costa</w:t>
      </w:r>
      <w:r w:rsidR="007353B3" w:rsidRPr="007353B3">
        <w:rPr>
          <w:rFonts w:asciiTheme="majorBidi" w:hAnsiTheme="majorBidi" w:cstheme="majorBidi"/>
          <w:b/>
          <w:bCs/>
          <w:i/>
          <w:iCs/>
          <w:noProof/>
          <w:sz w:val="24"/>
          <w:szCs w:val="24"/>
          <w:lang w:bidi="ar-EG"/>
        </w:rPr>
        <w:t xml:space="preserve"> et al</w:t>
      </w:r>
      <w:r w:rsidR="007353B3" w:rsidRPr="007353B3">
        <w:rPr>
          <w:rFonts w:asciiTheme="majorBidi" w:hAnsiTheme="majorBidi" w:cstheme="majorBidi"/>
          <w:b/>
          <w:bCs/>
          <w:noProof/>
          <w:sz w:val="24"/>
          <w:szCs w:val="24"/>
          <w:lang w:bidi="ar-EG"/>
        </w:rPr>
        <w:t xml:space="preserve">., </w:t>
      </w:r>
      <w:r w:rsidR="006A64CB" w:rsidRPr="007353B3">
        <w:rPr>
          <w:rFonts w:asciiTheme="majorBidi" w:hAnsiTheme="majorBidi" w:cstheme="majorBidi"/>
          <w:b/>
          <w:bCs/>
          <w:noProof/>
          <w:sz w:val="24"/>
          <w:szCs w:val="24"/>
          <w:lang w:bidi="ar-EG"/>
        </w:rPr>
        <w:t>2003)</w:t>
      </w:r>
      <w:r w:rsidR="00875013" w:rsidRPr="007353B3">
        <w:rPr>
          <w:rFonts w:asciiTheme="majorBidi" w:hAnsiTheme="majorBidi" w:cstheme="majorBidi"/>
          <w:b/>
          <w:bCs/>
          <w:sz w:val="24"/>
          <w:szCs w:val="24"/>
          <w:lang w:bidi="ar-EG"/>
        </w:rPr>
        <w:fldChar w:fldCharType="end"/>
      </w:r>
      <w:r w:rsidR="00875013" w:rsidRPr="00875013">
        <w:rPr>
          <w:rFonts w:asciiTheme="majorBidi" w:hAnsiTheme="majorBidi" w:cstheme="majorBidi"/>
          <w:b/>
          <w:bCs/>
          <w:sz w:val="24"/>
          <w:szCs w:val="24"/>
          <w:lang w:bidi="ar-EG"/>
        </w:rPr>
        <w:t>.</w:t>
      </w:r>
      <w:r w:rsidR="00875013">
        <w:rPr>
          <w:rFonts w:asciiTheme="majorBidi" w:hAnsiTheme="majorBidi" w:cstheme="majorBidi"/>
          <w:b/>
          <w:bCs/>
          <w:sz w:val="24"/>
          <w:szCs w:val="24"/>
          <w:lang w:bidi="ar-EG"/>
        </w:rPr>
        <w:t xml:space="preserve"> </w:t>
      </w:r>
      <w:r w:rsidR="00EF37B0" w:rsidRPr="00EF37B0">
        <w:rPr>
          <w:rFonts w:asciiTheme="majorBidi" w:hAnsiTheme="majorBidi" w:cstheme="majorBidi"/>
          <w:sz w:val="24"/>
          <w:szCs w:val="24"/>
          <w:lang w:bidi="ar-EG"/>
        </w:rPr>
        <w:t>Interestingly, humans and animals may be co-exposed to FPN and K2Cr2O7 under many circumstances resulting in existence of potentiated toxic effects as indicated by the current study.</w:t>
      </w:r>
    </w:p>
    <w:p w14:paraId="5F32F94E" w14:textId="19199CA0" w:rsidR="00796B99" w:rsidRPr="00CC7771" w:rsidRDefault="007353B3" w:rsidP="00CC7771">
      <w:pPr>
        <w:tabs>
          <w:tab w:val="right" w:pos="8222"/>
        </w:tabs>
        <w:spacing w:line="360" w:lineRule="auto"/>
        <w:ind w:left="-450" w:right="84"/>
        <w:jc w:val="both"/>
        <w:rPr>
          <w:rFonts w:asciiTheme="majorBidi" w:hAnsiTheme="majorBidi" w:cstheme="majorBidi"/>
          <w:color w:val="000000" w:themeColor="text1"/>
          <w:sz w:val="24"/>
          <w:szCs w:val="24"/>
          <w:lang w:bidi="ar-EG"/>
        </w:rPr>
      </w:pPr>
      <w:r w:rsidRPr="00CC7771">
        <w:rPr>
          <w:rFonts w:asciiTheme="majorBidi" w:hAnsiTheme="majorBidi" w:cstheme="majorBidi"/>
          <w:color w:val="000000" w:themeColor="text1"/>
          <w:sz w:val="24"/>
          <w:szCs w:val="24"/>
          <w:lang w:bidi="ar-EG"/>
        </w:rPr>
        <w:t>Changing in hematological indices is a biomarker of physiological stress</w:t>
      </w:r>
      <w:r w:rsidR="00C9293B" w:rsidRPr="00C9293B">
        <w:rPr>
          <w:rFonts w:asciiTheme="majorBidi" w:hAnsiTheme="majorBidi" w:cstheme="majorBidi"/>
          <w:b/>
          <w:bCs/>
          <w:color w:val="000000" w:themeColor="text1"/>
          <w:sz w:val="24"/>
          <w:szCs w:val="24"/>
          <w:lang w:bidi="ar-EG"/>
        </w:rPr>
        <w:fldChar w:fldCharType="begin" w:fldLock="1"/>
      </w:r>
      <w:r w:rsidR="00C9293B">
        <w:rPr>
          <w:rFonts w:asciiTheme="majorBidi" w:hAnsiTheme="majorBidi" w:cstheme="majorBidi"/>
          <w:b/>
          <w:bCs/>
          <w:color w:val="000000" w:themeColor="text1"/>
          <w:sz w:val="24"/>
          <w:szCs w:val="24"/>
          <w:lang w:bidi="ar-EG"/>
        </w:rPr>
        <w:instrText>ADDIN CSL_CITATION {"citationItems":[{"id":"ITEM-1","itemData":{"author":[{"dropping-particle":"","family":"Rm","given":"Kartheek","non-dropping-particle":"","parse-names":false,"suffix":""},{"dropping-particle":"","family":"David","given":"M","non-dropping-particle":"","parse-names":false,"suffix":""}],"id":"ITEM-1","issue":"November","issued":{"date-parts":[["2017"]]},"page":"187-194","title":"Modulations in Haematological Aspects of Wistar Rats Exposed to Sublethal Doses of Fipronil under Subchronic Duration","type":"article-journal","volume":"5"},"uris":["http://www.mendeley.com/documents/?uuid=025d83c8-3836-4d76-932a-1142e37c85f9"]}],"mendeley":{"formattedCitation":"(Rm &amp; David, 2017)","plainTextFormattedCitation":"(Rm &amp; David, 2017)","previouslyFormattedCitation":"(Rm &amp; David, 2017)"},"properties":{"noteIndex":0},"schema":"https://github.com/citation-style-language/schema/raw/master/csl-citation.json"}</w:instrText>
      </w:r>
      <w:r w:rsidR="00C9293B" w:rsidRPr="00C9293B">
        <w:rPr>
          <w:rFonts w:asciiTheme="majorBidi" w:hAnsiTheme="majorBidi" w:cstheme="majorBidi"/>
          <w:b/>
          <w:bCs/>
          <w:color w:val="000000" w:themeColor="text1"/>
          <w:sz w:val="24"/>
          <w:szCs w:val="24"/>
          <w:lang w:bidi="ar-EG"/>
        </w:rPr>
        <w:fldChar w:fldCharType="separate"/>
      </w:r>
      <w:r w:rsidR="00C9293B" w:rsidRPr="00C9293B">
        <w:rPr>
          <w:rFonts w:asciiTheme="majorBidi" w:hAnsiTheme="majorBidi" w:cstheme="majorBidi"/>
          <w:b/>
          <w:bCs/>
          <w:noProof/>
          <w:color w:val="000000" w:themeColor="text1"/>
          <w:sz w:val="24"/>
          <w:szCs w:val="24"/>
          <w:lang w:bidi="ar-EG"/>
        </w:rPr>
        <w:t>(Rm &amp; David, 2017)</w:t>
      </w:r>
      <w:r w:rsidR="00C9293B" w:rsidRPr="00C9293B">
        <w:rPr>
          <w:rFonts w:asciiTheme="majorBidi" w:hAnsiTheme="majorBidi" w:cstheme="majorBidi"/>
          <w:b/>
          <w:bCs/>
          <w:color w:val="000000" w:themeColor="text1"/>
          <w:sz w:val="24"/>
          <w:szCs w:val="24"/>
          <w:lang w:bidi="ar-EG"/>
        </w:rPr>
        <w:fldChar w:fldCharType="end"/>
      </w:r>
      <w:r w:rsidRPr="00CC7771">
        <w:rPr>
          <w:rFonts w:asciiTheme="majorBidi" w:hAnsiTheme="majorBidi" w:cstheme="majorBidi"/>
          <w:color w:val="000000" w:themeColor="text1"/>
          <w:sz w:val="24"/>
          <w:szCs w:val="24"/>
          <w:lang w:bidi="ar-EG"/>
        </w:rPr>
        <w:t>.</w:t>
      </w:r>
      <w:r w:rsidRPr="00CC7771">
        <w:rPr>
          <w:color w:val="000000" w:themeColor="text1"/>
          <w:sz w:val="24"/>
          <w:szCs w:val="24"/>
        </w:rPr>
        <w:t xml:space="preserve"> </w:t>
      </w:r>
      <w:r w:rsidR="00796B99" w:rsidRPr="00CC7771">
        <w:rPr>
          <w:color w:val="000000" w:themeColor="text1"/>
          <w:sz w:val="24"/>
          <w:szCs w:val="24"/>
        </w:rPr>
        <w:t xml:space="preserve">in which, FPN exposure in male Wistar rats at dose 6.46, 12.12 and 32.33mg/kg body weight for 90 days </w:t>
      </w:r>
      <w:r w:rsidR="00796B99" w:rsidRPr="00CC7771">
        <w:rPr>
          <w:rFonts w:asciiTheme="majorBidi" w:hAnsiTheme="majorBidi" w:cstheme="majorBidi"/>
          <w:color w:val="000000" w:themeColor="text1"/>
          <w:sz w:val="24"/>
          <w:szCs w:val="24"/>
          <w:lang w:bidi="ar-EG"/>
        </w:rPr>
        <w:t>investigate variations in hematological indices of rats</w:t>
      </w:r>
      <w:r w:rsidR="00796B99" w:rsidRPr="00CC7771">
        <w:rPr>
          <w:rFonts w:asciiTheme="majorBidi" w:hAnsiTheme="majorBidi" w:cstheme="majorBidi" w:hint="cs"/>
          <w:color w:val="000000" w:themeColor="text1"/>
          <w:sz w:val="24"/>
          <w:szCs w:val="24"/>
          <w:rtl/>
          <w:lang w:bidi="ar-EG"/>
        </w:rPr>
        <w:t xml:space="preserve"> </w:t>
      </w:r>
      <w:r w:rsidR="00796B99" w:rsidRPr="00CC7771">
        <w:rPr>
          <w:rFonts w:asciiTheme="majorBidi" w:hAnsiTheme="majorBidi" w:cstheme="majorBidi"/>
          <w:color w:val="000000" w:themeColor="text1"/>
          <w:sz w:val="24"/>
          <w:szCs w:val="24"/>
          <w:lang w:bidi="ar-EG"/>
        </w:rPr>
        <w:t>(increase in WBC, demolish the RBC concentrates and Hb)</w:t>
      </w:r>
      <w:r w:rsidR="00796B99" w:rsidRPr="00CC7771">
        <w:rPr>
          <w:rFonts w:asciiTheme="majorBidi" w:hAnsiTheme="majorBidi" w:cstheme="majorBidi"/>
          <w:color w:val="000000" w:themeColor="text1"/>
          <w:sz w:val="24"/>
          <w:szCs w:val="24"/>
          <w:lang w:bidi="ar-EG"/>
        </w:rPr>
        <w:t xml:space="preserve"> </w:t>
      </w:r>
      <w:r w:rsidR="00CC7771" w:rsidRPr="00CC7771">
        <w:rPr>
          <w:rFonts w:asciiTheme="majorBidi" w:hAnsiTheme="majorBidi" w:cstheme="majorBidi"/>
          <w:b/>
          <w:bCs/>
          <w:color w:val="000000" w:themeColor="text1"/>
          <w:sz w:val="24"/>
          <w:szCs w:val="24"/>
          <w:lang w:bidi="ar-EG"/>
        </w:rPr>
        <w:fldChar w:fldCharType="begin" w:fldLock="1"/>
      </w:r>
      <w:r w:rsidR="00CC7771" w:rsidRPr="00CC7771">
        <w:rPr>
          <w:rFonts w:asciiTheme="majorBidi" w:hAnsiTheme="majorBidi" w:cstheme="majorBidi"/>
          <w:b/>
          <w:bCs/>
          <w:color w:val="000000" w:themeColor="text1"/>
          <w:sz w:val="24"/>
          <w:szCs w:val="24"/>
          <w:lang w:bidi="ar-EG"/>
        </w:rPr>
        <w:instrText>ADDIN CSL_CITATION {"citationItems":[{"id":"ITEM-1","itemData":{"author":[{"dropping-particle":"","family":"Rm","given":"Kartheek","non-dropping-particle":"","parse-names":false,"suffix":""},{"dropping-particle":"","family":"David","given":"M","non-dropping-particle":"","parse-names":false,"suffix":""}],"id":"ITEM-1","issue":"November","issued":{"date-parts":[["2017"]]},"page":"187-194","title":"Modulations in Haematological Aspects of Wistar Rats Exposed to Sublethal Doses of Fipronil under Subchronic Duration","type":"article-journal","volume":"5"},"uris":["http://www.mendeley.com/documents/?uuid=025d83c8-3836-4d76-932a-1142e37c85f9"]}],"mendeley":{"formattedCitation":"(Rm &amp; David, 2017)","plainTextFormattedCitation":"(Rm &amp; David, 2017)","previouslyFormattedCitation":"(Rm &amp; David, 2017)"},"properties":{"noteIndex":0},"schema":"https://github.com/citation-style-language/schema/raw/master/csl-citation.json"}</w:instrText>
      </w:r>
      <w:r w:rsidR="00CC7771" w:rsidRPr="00CC7771">
        <w:rPr>
          <w:rFonts w:asciiTheme="majorBidi" w:hAnsiTheme="majorBidi" w:cstheme="majorBidi"/>
          <w:b/>
          <w:bCs/>
          <w:color w:val="000000" w:themeColor="text1"/>
          <w:sz w:val="24"/>
          <w:szCs w:val="24"/>
          <w:lang w:bidi="ar-EG"/>
        </w:rPr>
        <w:fldChar w:fldCharType="separate"/>
      </w:r>
      <w:r w:rsidR="00CC7771" w:rsidRPr="00CC7771">
        <w:rPr>
          <w:rFonts w:asciiTheme="majorBidi" w:hAnsiTheme="majorBidi" w:cstheme="majorBidi"/>
          <w:b/>
          <w:bCs/>
          <w:noProof/>
          <w:color w:val="000000" w:themeColor="text1"/>
          <w:sz w:val="24"/>
          <w:szCs w:val="24"/>
          <w:lang w:bidi="ar-EG"/>
        </w:rPr>
        <w:t>(Rm &amp; David, 2017)</w:t>
      </w:r>
      <w:r w:rsidR="00CC7771" w:rsidRPr="00CC7771">
        <w:rPr>
          <w:rFonts w:asciiTheme="majorBidi" w:hAnsiTheme="majorBidi" w:cstheme="majorBidi"/>
          <w:b/>
          <w:bCs/>
          <w:color w:val="000000" w:themeColor="text1"/>
          <w:sz w:val="24"/>
          <w:szCs w:val="24"/>
          <w:lang w:bidi="ar-EG"/>
        </w:rPr>
        <w:fldChar w:fldCharType="end"/>
      </w:r>
      <w:r w:rsidR="00CC7771">
        <w:rPr>
          <w:rFonts w:asciiTheme="majorBidi" w:hAnsiTheme="majorBidi" w:cstheme="majorBidi"/>
          <w:b/>
          <w:bCs/>
          <w:color w:val="000000" w:themeColor="text1"/>
          <w:sz w:val="24"/>
          <w:szCs w:val="24"/>
          <w:lang w:bidi="ar-EG"/>
        </w:rPr>
        <w:t xml:space="preserve"> .</w:t>
      </w:r>
      <w:r w:rsidR="00053096" w:rsidRPr="00C9293B">
        <w:rPr>
          <w:rFonts w:asciiTheme="majorBidi" w:hAnsiTheme="majorBidi" w:cstheme="majorBidi"/>
          <w:color w:val="000000" w:themeColor="text1"/>
          <w:sz w:val="24"/>
          <w:szCs w:val="24"/>
          <w:lang w:bidi="ar-EG"/>
        </w:rPr>
        <w:t>Moreover</w:t>
      </w:r>
      <w:r w:rsidR="00CC7771">
        <w:rPr>
          <w:rFonts w:asciiTheme="majorBidi" w:hAnsiTheme="majorBidi" w:cstheme="majorBidi"/>
          <w:b/>
          <w:bCs/>
          <w:color w:val="000000" w:themeColor="text1"/>
          <w:sz w:val="24"/>
          <w:szCs w:val="24"/>
          <w:lang w:bidi="ar-EG"/>
        </w:rPr>
        <w:t>,</w:t>
      </w:r>
      <w:r w:rsidR="00796B99" w:rsidRPr="00CC7771">
        <w:rPr>
          <w:color w:val="000000" w:themeColor="text1"/>
          <w:sz w:val="24"/>
          <w:szCs w:val="24"/>
        </w:rPr>
        <w:t xml:space="preserve"> </w:t>
      </w:r>
      <w:r w:rsidR="00053096">
        <w:rPr>
          <w:color w:val="000000" w:themeColor="text1"/>
          <w:sz w:val="24"/>
          <w:szCs w:val="24"/>
        </w:rPr>
        <w:t>C</w:t>
      </w:r>
      <w:r w:rsidR="00796B99" w:rsidRPr="00CC7771">
        <w:rPr>
          <w:color w:val="000000" w:themeColor="text1"/>
          <w:sz w:val="24"/>
          <w:szCs w:val="24"/>
        </w:rPr>
        <w:t xml:space="preserve">hronic exposure to </w:t>
      </w:r>
      <w:r w:rsidR="00796B99" w:rsidRPr="00CC7771">
        <w:rPr>
          <w:rFonts w:asciiTheme="majorBidi" w:hAnsiTheme="majorBidi" w:cstheme="majorBidi"/>
          <w:color w:val="000000" w:themeColor="text1"/>
          <w:sz w:val="24"/>
          <w:szCs w:val="24"/>
          <w:lang w:bidi="ar-EG"/>
        </w:rPr>
        <w:t>K2Cr2O7</w:t>
      </w:r>
      <w:r w:rsidR="00796B99" w:rsidRPr="00CC7771">
        <w:rPr>
          <w:rFonts w:asciiTheme="majorBidi" w:hAnsiTheme="majorBidi" w:cstheme="majorBidi"/>
          <w:color w:val="000000" w:themeColor="text1"/>
          <w:sz w:val="24"/>
          <w:szCs w:val="24"/>
          <w:lang w:bidi="ar-EG"/>
        </w:rPr>
        <w:t xml:space="preserve"> </w:t>
      </w:r>
      <w:r w:rsidR="00CC7771" w:rsidRPr="00CC7771">
        <w:rPr>
          <w:rFonts w:asciiTheme="majorBidi" w:hAnsiTheme="majorBidi" w:cstheme="majorBidi"/>
          <w:color w:val="000000" w:themeColor="text1"/>
          <w:sz w:val="24"/>
          <w:szCs w:val="24"/>
          <w:lang w:bidi="ar-EG"/>
        </w:rPr>
        <w:t>at dose</w:t>
      </w:r>
      <w:r w:rsidR="00CC7771" w:rsidRPr="00CC7771">
        <w:rPr>
          <w:color w:val="000000" w:themeColor="text1"/>
          <w:sz w:val="24"/>
          <w:szCs w:val="24"/>
        </w:rPr>
        <w:t xml:space="preserve"> </w:t>
      </w:r>
      <w:r w:rsidR="00CC7771" w:rsidRPr="00CC7771">
        <w:rPr>
          <w:rFonts w:asciiTheme="majorBidi" w:hAnsiTheme="majorBidi" w:cstheme="majorBidi"/>
          <w:color w:val="000000" w:themeColor="text1"/>
          <w:sz w:val="24"/>
          <w:szCs w:val="24"/>
          <w:lang w:bidi="ar-EG"/>
        </w:rPr>
        <w:t xml:space="preserve">0.25 </w:t>
      </w:r>
      <w:r w:rsidR="00CC7771" w:rsidRPr="00CC7771">
        <w:rPr>
          <w:rFonts w:asciiTheme="majorBidi" w:hAnsiTheme="majorBidi" w:cstheme="majorBidi"/>
          <w:color w:val="000000" w:themeColor="text1"/>
          <w:sz w:val="24"/>
          <w:szCs w:val="24"/>
          <w:lang w:bidi="ar-EG"/>
        </w:rPr>
        <w:t>,</w:t>
      </w:r>
      <w:r w:rsidR="00CC7771" w:rsidRPr="00CC7771">
        <w:rPr>
          <w:color w:val="000000" w:themeColor="text1"/>
          <w:sz w:val="24"/>
          <w:szCs w:val="24"/>
        </w:rPr>
        <w:t xml:space="preserve"> </w:t>
      </w:r>
      <w:r w:rsidR="00CC7771" w:rsidRPr="00CC7771">
        <w:rPr>
          <w:rFonts w:asciiTheme="majorBidi" w:hAnsiTheme="majorBidi" w:cstheme="majorBidi"/>
          <w:color w:val="000000" w:themeColor="text1"/>
          <w:sz w:val="24"/>
          <w:szCs w:val="24"/>
          <w:lang w:bidi="ar-EG"/>
        </w:rPr>
        <w:t xml:space="preserve">0.5 </w:t>
      </w:r>
      <w:r w:rsidR="00CC7771" w:rsidRPr="00CC7771">
        <w:rPr>
          <w:rFonts w:asciiTheme="majorBidi" w:hAnsiTheme="majorBidi" w:cstheme="majorBidi"/>
          <w:color w:val="000000" w:themeColor="text1"/>
          <w:sz w:val="24"/>
          <w:szCs w:val="24"/>
          <w:lang w:bidi="ar-EG"/>
        </w:rPr>
        <w:t xml:space="preserve">, </w:t>
      </w:r>
      <w:r w:rsidR="00CC7771" w:rsidRPr="00CC7771">
        <w:rPr>
          <w:rFonts w:asciiTheme="majorBidi" w:hAnsiTheme="majorBidi" w:cstheme="majorBidi"/>
          <w:color w:val="000000" w:themeColor="text1"/>
          <w:sz w:val="24"/>
          <w:szCs w:val="24"/>
          <w:lang w:bidi="ar-EG"/>
        </w:rPr>
        <w:t xml:space="preserve">1mg/kg </w:t>
      </w:r>
      <w:proofErr w:type="spellStart"/>
      <w:r w:rsidR="00CC7771" w:rsidRPr="00CC7771">
        <w:rPr>
          <w:rFonts w:asciiTheme="majorBidi" w:hAnsiTheme="majorBidi" w:cstheme="majorBidi"/>
          <w:color w:val="000000" w:themeColor="text1"/>
          <w:sz w:val="24"/>
          <w:szCs w:val="24"/>
          <w:lang w:bidi="ar-EG"/>
        </w:rPr>
        <w:t>bw</w:t>
      </w:r>
      <w:proofErr w:type="spellEnd"/>
      <w:r w:rsidR="00CC7771" w:rsidRPr="00CC7771">
        <w:rPr>
          <w:rFonts w:asciiTheme="majorBidi" w:hAnsiTheme="majorBidi" w:cstheme="majorBidi"/>
          <w:color w:val="000000" w:themeColor="text1"/>
          <w:sz w:val="24"/>
          <w:szCs w:val="24"/>
          <w:lang w:bidi="ar-EG"/>
        </w:rPr>
        <w:t>/day</w:t>
      </w:r>
      <w:r w:rsidR="00CC7771" w:rsidRPr="00CC7771">
        <w:rPr>
          <w:rFonts w:asciiTheme="majorBidi" w:hAnsiTheme="majorBidi" w:cstheme="majorBidi"/>
          <w:color w:val="000000" w:themeColor="text1"/>
          <w:sz w:val="24"/>
          <w:szCs w:val="24"/>
          <w:lang w:bidi="ar-EG"/>
        </w:rPr>
        <w:t xml:space="preserve"> for 90 days </w:t>
      </w:r>
      <w:r w:rsidR="00796B99" w:rsidRPr="00CC7771">
        <w:rPr>
          <w:rFonts w:asciiTheme="majorBidi" w:hAnsiTheme="majorBidi" w:cstheme="majorBidi"/>
          <w:color w:val="000000" w:themeColor="text1"/>
          <w:sz w:val="24"/>
          <w:szCs w:val="24"/>
          <w:lang w:bidi="ar-EG"/>
        </w:rPr>
        <w:t>induces</w:t>
      </w:r>
      <w:r w:rsidR="00CC7771" w:rsidRPr="00CC7771">
        <w:rPr>
          <w:rFonts w:asciiTheme="majorBidi" w:hAnsiTheme="majorBidi" w:cstheme="majorBidi"/>
          <w:color w:val="000000" w:themeColor="text1"/>
          <w:sz w:val="24"/>
          <w:szCs w:val="24"/>
          <w:lang w:bidi="ar-EG"/>
        </w:rPr>
        <w:t xml:space="preserve"> </w:t>
      </w:r>
      <w:r w:rsidR="00796B99" w:rsidRPr="00CC7771">
        <w:rPr>
          <w:rFonts w:asciiTheme="majorBidi" w:hAnsiTheme="majorBidi" w:cstheme="majorBidi"/>
          <w:color w:val="000000" w:themeColor="text1"/>
          <w:sz w:val="24"/>
          <w:szCs w:val="24"/>
          <w:lang w:bidi="ar-EG"/>
        </w:rPr>
        <w:t>anemia with decreased RBC count and hemoglobin concentration</w:t>
      </w:r>
      <w:r w:rsidR="00053096" w:rsidRPr="00CC7771">
        <w:rPr>
          <w:rFonts w:asciiTheme="majorBidi" w:hAnsiTheme="majorBidi" w:cstheme="majorBidi"/>
          <w:color w:val="000000" w:themeColor="text1"/>
          <w:sz w:val="24"/>
          <w:szCs w:val="24"/>
          <w:lang w:bidi="ar-EG"/>
        </w:rPr>
        <w:t xml:space="preserve"> </w:t>
      </w:r>
      <w:r w:rsidR="00053096" w:rsidRPr="00CC7771">
        <w:rPr>
          <w:rFonts w:asciiTheme="majorBidi" w:hAnsiTheme="majorBidi" w:cstheme="majorBidi"/>
          <w:b/>
          <w:bCs/>
          <w:color w:val="000000" w:themeColor="text1"/>
          <w:sz w:val="24"/>
          <w:szCs w:val="24"/>
          <w:lang w:bidi="ar-EG"/>
        </w:rPr>
        <w:fldChar w:fldCharType="begin" w:fldLock="1"/>
      </w:r>
      <w:r w:rsidR="00053096">
        <w:rPr>
          <w:rFonts w:asciiTheme="majorBidi" w:hAnsiTheme="majorBidi" w:cstheme="majorBidi"/>
          <w:b/>
          <w:bCs/>
          <w:color w:val="000000" w:themeColor="text1"/>
          <w:sz w:val="24"/>
          <w:szCs w:val="24"/>
          <w:lang w:bidi="ar-EG"/>
        </w:rPr>
        <w:instrText>ADDIN CSL_CITATION {"citationItems":[{"id":"ITEM-1","itemData":{"DOI":"10.22159/ajpcr.2017.v10i5.17468","ISSN":"24553891","abstract":"Objectives: Exposure to chromium, the transition element found in many compounds of earth’s crust, leads to various health hazards including cancer, dermatitis, damage of liver and kidneys, and reproductive toxicity in both male and female. Toxic effect of chronic exposure to chromium at low environmentally relevant dose is recently recognized and less studied. In the present study, we evaluated the effect of subchronic exposure to low doses of chromium VI (K2Cr2O7) on various hematological and biochemical parameters in male albino rats. Methods: Male albino rats (160±10 g) received 1/25, 1/50, and 1/100 of reported oral LD50 dose of chromium VI (K2Cr2O7) for 90 consecutive days. After treatment, the blood was collected for analysis of various hematological and biochemical parameters. Results: Exposure to chromium VI at 1/25 LD50 dose caused decrease in body weight gain and reduction in the weight of the reproductive organs along with increase in the weight of the liver and kidney. Numbers of red blood cells, white blood cells, platelets, and hemoglobin concentration reduced with increase in clotting time. The total sperm count and motility was also reduced in exposed rats. There was a decrease in plasma protein and albumin concentration, with increase in plasma glucose and cholesterol level. The activity of enzyme alanine aminotransferase and enzyme aspartate aminotransferase was stimulated in treated rats. Conclusion: The results of the present study revealed that chronic low-dose exposure to chromium VI resulted in a toxic effect in experimental male albino rats.","author":[{"dropping-particle":"","family":"Saha","given":"Jahnabi","non-dropping-particle":"","parse-names":false,"suffix":""},{"dropping-particle":"","family":"Choudhuri","given":"Soma","non-dropping-particle":"","parse-names":false,"suffix":""},{"dropping-particle":"","family":"Choudhuri","given":"Dipayan","non-dropping-particle":"","parse-names":false,"suffix":""}],"container-title":"Asian Journal of Pharmaceutical and Clinical Research","id":"ITEM-1","issue":"5","issued":{"date-parts":[["2017"]]},"page":"345-348","title":"Effect of subchronic exposure to chromium on hematological and biochemical parameters of male albino rat","type":"article-journal","volume":"10"},"uris":["http://www.mendeley.com/documents/?uuid=d1a8fc1a-83bb-434d-9d30-992d2eafe1cf"]}],"mendeley":{"formattedCitation":"(Saha, Choudhuri, &amp; Choudhuri, 2017)","manualFormatting":"(Saha et al.,  2017)","plainTextFormattedCitation":"(Saha, Choudhuri, &amp; Choudhuri, 2017)","previouslyFormattedCitation":"(Saha, Choudhuri, &amp; Choudhuri, 2017)"},"properties":{"noteIndex":0},"schema":"https://github.com/citation-style-language/schema/raw/master/csl-citation.json"}</w:instrText>
      </w:r>
      <w:r w:rsidR="00053096" w:rsidRPr="00CC7771">
        <w:rPr>
          <w:rFonts w:asciiTheme="majorBidi" w:hAnsiTheme="majorBidi" w:cstheme="majorBidi"/>
          <w:b/>
          <w:bCs/>
          <w:color w:val="000000" w:themeColor="text1"/>
          <w:sz w:val="24"/>
          <w:szCs w:val="24"/>
          <w:lang w:bidi="ar-EG"/>
        </w:rPr>
        <w:fldChar w:fldCharType="separate"/>
      </w:r>
      <w:r w:rsidR="00053096" w:rsidRPr="00CC7771">
        <w:rPr>
          <w:rFonts w:asciiTheme="majorBidi" w:hAnsiTheme="majorBidi" w:cstheme="majorBidi"/>
          <w:b/>
          <w:bCs/>
          <w:noProof/>
          <w:color w:val="000000" w:themeColor="text1"/>
          <w:sz w:val="24"/>
          <w:szCs w:val="24"/>
          <w:lang w:bidi="ar-EG"/>
        </w:rPr>
        <w:t>(Saha</w:t>
      </w:r>
      <w:r w:rsidR="00053096" w:rsidRPr="00CC7771">
        <w:rPr>
          <w:rFonts w:asciiTheme="majorBidi" w:hAnsiTheme="majorBidi" w:cstheme="majorBidi"/>
          <w:b/>
          <w:bCs/>
          <w:i/>
          <w:iCs/>
          <w:noProof/>
          <w:color w:val="000000" w:themeColor="text1"/>
          <w:sz w:val="24"/>
          <w:szCs w:val="24"/>
          <w:lang w:bidi="ar-EG"/>
        </w:rPr>
        <w:t xml:space="preserve"> et al</w:t>
      </w:r>
      <w:r w:rsidR="00053096" w:rsidRPr="00CC7771">
        <w:rPr>
          <w:rFonts w:asciiTheme="majorBidi" w:hAnsiTheme="majorBidi" w:cstheme="majorBidi"/>
          <w:b/>
          <w:bCs/>
          <w:noProof/>
          <w:color w:val="000000" w:themeColor="text1"/>
          <w:sz w:val="24"/>
          <w:szCs w:val="24"/>
          <w:lang w:bidi="ar-EG"/>
        </w:rPr>
        <w:t>.,  2017)</w:t>
      </w:r>
      <w:r w:rsidR="00053096" w:rsidRPr="00CC7771">
        <w:rPr>
          <w:rFonts w:asciiTheme="majorBidi" w:hAnsiTheme="majorBidi" w:cstheme="majorBidi"/>
          <w:b/>
          <w:bCs/>
          <w:color w:val="000000" w:themeColor="text1"/>
          <w:sz w:val="24"/>
          <w:szCs w:val="24"/>
          <w:lang w:bidi="ar-EG"/>
        </w:rPr>
        <w:fldChar w:fldCharType="end"/>
      </w:r>
      <w:r w:rsidR="00053096" w:rsidRPr="00053096">
        <w:rPr>
          <w:rFonts w:asciiTheme="majorBidi" w:hAnsiTheme="majorBidi" w:cstheme="majorBidi"/>
          <w:color w:val="000000" w:themeColor="text1"/>
          <w:sz w:val="24"/>
          <w:szCs w:val="24"/>
          <w:lang w:bidi="ar-EG"/>
        </w:rPr>
        <w:t xml:space="preserve"> </w:t>
      </w:r>
      <w:r w:rsidR="00053096">
        <w:rPr>
          <w:rFonts w:asciiTheme="majorBidi" w:hAnsiTheme="majorBidi" w:cstheme="majorBidi"/>
          <w:color w:val="000000" w:themeColor="text1"/>
          <w:sz w:val="24"/>
          <w:szCs w:val="24"/>
          <w:lang w:bidi="ar-EG"/>
        </w:rPr>
        <w:t>.</w:t>
      </w:r>
    </w:p>
    <w:p w14:paraId="00AEA8E5" w14:textId="69934218" w:rsidR="00B6605D" w:rsidRPr="00C9293B" w:rsidRDefault="00CC7771" w:rsidP="00C9293B">
      <w:pPr>
        <w:tabs>
          <w:tab w:val="right" w:pos="8222"/>
        </w:tabs>
        <w:spacing w:line="360" w:lineRule="auto"/>
        <w:ind w:left="-450" w:right="84"/>
        <w:jc w:val="both"/>
        <w:rPr>
          <w:rFonts w:asciiTheme="majorBidi" w:hAnsiTheme="majorBidi" w:cstheme="majorBidi"/>
          <w:color w:val="FF0000"/>
          <w:sz w:val="28"/>
          <w:szCs w:val="28"/>
          <w:lang w:bidi="ar-EG"/>
        </w:rPr>
      </w:pPr>
      <w:r w:rsidRPr="00053096">
        <w:rPr>
          <w:color w:val="000000" w:themeColor="text1"/>
          <w:sz w:val="24"/>
          <w:szCs w:val="24"/>
        </w:rPr>
        <w:t>In</w:t>
      </w:r>
      <w:r w:rsidRPr="00053096">
        <w:rPr>
          <w:rFonts w:asciiTheme="majorBidi" w:hAnsiTheme="majorBidi" w:cstheme="majorBidi"/>
          <w:color w:val="000000" w:themeColor="text1"/>
          <w:sz w:val="24"/>
          <w:szCs w:val="24"/>
          <w:lang w:bidi="ar-EG"/>
        </w:rPr>
        <w:t xml:space="preserve"> </w:t>
      </w:r>
      <w:r w:rsidRPr="00053096">
        <w:rPr>
          <w:rFonts w:asciiTheme="majorBidi" w:hAnsiTheme="majorBidi" w:cstheme="majorBidi"/>
          <w:color w:val="000000" w:themeColor="text1"/>
          <w:sz w:val="24"/>
          <w:szCs w:val="24"/>
          <w:lang w:bidi="ar-EG"/>
        </w:rPr>
        <w:t xml:space="preserve">the present investigation, there is no significant variations in hematological indices of rats exposed to FPN and /or K2Cr2O7 for 28 days compared to control groups as shown in </w:t>
      </w:r>
      <w:r w:rsidRPr="00053096">
        <w:rPr>
          <w:rFonts w:asciiTheme="majorBidi" w:hAnsiTheme="majorBidi" w:cstheme="majorBidi"/>
          <w:color w:val="FF0000"/>
          <w:sz w:val="24"/>
          <w:szCs w:val="24"/>
          <w:lang w:bidi="ar-EG"/>
        </w:rPr>
        <w:t xml:space="preserve">figure </w:t>
      </w:r>
      <w:proofErr w:type="gramStart"/>
      <w:r w:rsidRPr="00053096">
        <w:rPr>
          <w:rFonts w:asciiTheme="majorBidi" w:hAnsiTheme="majorBidi" w:cstheme="majorBidi"/>
          <w:color w:val="FF0000"/>
          <w:sz w:val="24"/>
          <w:szCs w:val="24"/>
          <w:lang w:bidi="ar-EG"/>
        </w:rPr>
        <w:t>( 1</w:t>
      </w:r>
      <w:proofErr w:type="gramEnd"/>
      <w:r w:rsidRPr="00053096">
        <w:rPr>
          <w:rFonts w:asciiTheme="majorBidi" w:hAnsiTheme="majorBidi" w:cstheme="majorBidi"/>
          <w:color w:val="FF0000"/>
          <w:sz w:val="24"/>
          <w:szCs w:val="24"/>
          <w:lang w:bidi="ar-EG"/>
        </w:rPr>
        <w:t>-3)</w:t>
      </w:r>
      <w:r w:rsidRPr="00053096">
        <w:rPr>
          <w:rFonts w:asciiTheme="majorBidi" w:hAnsiTheme="majorBidi" w:cstheme="majorBidi"/>
          <w:color w:val="000000" w:themeColor="text1"/>
          <w:sz w:val="24"/>
          <w:szCs w:val="24"/>
          <w:lang w:bidi="ar-EG"/>
        </w:rPr>
        <w:t>.</w:t>
      </w:r>
      <w:r w:rsidRPr="00053096">
        <w:rPr>
          <w:rFonts w:asciiTheme="majorBidi" w:hAnsiTheme="majorBidi" w:cstheme="majorBidi"/>
          <w:color w:val="000000" w:themeColor="text1"/>
          <w:sz w:val="24"/>
          <w:szCs w:val="24"/>
          <w:lang w:bidi="ar-EG"/>
        </w:rPr>
        <w:t xml:space="preserve"> </w:t>
      </w:r>
      <w:r w:rsidRPr="00CC7771">
        <w:rPr>
          <w:rFonts w:asciiTheme="majorBidi" w:hAnsiTheme="majorBidi" w:cstheme="majorBidi"/>
          <w:color w:val="000000" w:themeColor="text1"/>
          <w:sz w:val="24"/>
          <w:szCs w:val="24"/>
          <w:lang w:bidi="ar-EG"/>
        </w:rPr>
        <w:t xml:space="preserve">Our result were not agree with those result of </w:t>
      </w:r>
      <w:r w:rsidR="00053096" w:rsidRPr="00053096">
        <w:rPr>
          <w:rFonts w:asciiTheme="majorBidi" w:hAnsiTheme="majorBidi" w:cstheme="majorBidi"/>
          <w:b/>
          <w:bCs/>
          <w:color w:val="000000" w:themeColor="text1"/>
          <w:sz w:val="24"/>
          <w:szCs w:val="24"/>
          <w:lang w:bidi="ar-EG"/>
        </w:rPr>
        <w:fldChar w:fldCharType="begin" w:fldLock="1"/>
      </w:r>
      <w:r w:rsidR="00C9293B">
        <w:rPr>
          <w:rFonts w:asciiTheme="majorBidi" w:hAnsiTheme="majorBidi" w:cstheme="majorBidi"/>
          <w:b/>
          <w:bCs/>
          <w:color w:val="000000" w:themeColor="text1"/>
          <w:sz w:val="24"/>
          <w:szCs w:val="24"/>
          <w:lang w:bidi="ar-EG"/>
        </w:rPr>
        <w:instrText>ADDIN CSL_CITATION {"citationItems":[{"id":"ITEM-1","itemData":{"author":[{"dropping-particle":"","family":"Rm","given":"Kartheek","non-dropping-particle":"","parse-names":false,"suffix":""},{"dropping-particle":"","family":"David","given":"M","non-dropping-particle":"","parse-names":false,"suffix":""}],"id":"ITEM-1","issue":"November","issued":{"date-parts":[["2017"]]},"page":"187-194","title":"Modulations in Haematological Aspects of Wistar Rats Exposed to Sublethal Doses of Fipronil under Subchronic Duration","type":"article-journal","volume":"5"},"uris":["http://www.mendeley.com/documents/?uuid=025d83c8-3836-4d76-932a-1142e37c85f9"]},{"id":"ITEM-2","itemData":{"DOI":"10.22159/ajpcr.2017.v10i5.17468","ISSN":"24553891","abstract":"Objectives: Exposure to chromium, the transition element found in many compounds of earth’s crust, leads to various health hazards including cancer, dermatitis, damage of liver and kidneys, and reproductive toxicity in both male and female. Toxic effect of chronic exposure to chromium at low environmentally relevant dose is recently recognized and less studied. In the present study, we evaluated the effect of subchronic exposure to low doses of chromium VI (K2Cr2O7) on various hematological and biochemical parameters in male albino rats. Methods: Male albino rats (160±10 g) received 1/25, 1/50, and 1/100 of reported oral LD50 dose of chromium VI (K2Cr2O7) for 90 consecutive days. After treatment, the blood was collected for analysis of various hematological and biochemical parameters. Results: Exposure to chromium VI at 1/25 LD50 dose caused decrease in body weight gain and reduction in the weight of the reproductive organs along with increase in the weight of the liver and kidney. Numbers of red blood cells, white blood cells, platelets, and hemoglobin concentration reduced with increase in clotting time. The total sperm count and motility was also reduced in exposed rats. There was a decrease in plasma protein and albumin concentration, with increase in plasma glucose and cholesterol level. The activity of enzyme alanine aminotransferase and enzyme aspartate aminotransferase was stimulated in treated rats. Conclusion: The results of the present study revealed that chronic low-dose exposure to chromium VI resulted in a toxic effect in experimental male albino rats.","author":[{"dropping-particle":"","family":"Saha","given":"Jahnabi","non-dropping-particle":"","parse-names":false,"suffix":""},{"dropping-particle":"","family":"Choudhuri","given":"Soma","non-dropping-particle":"","parse-names":false,"suffix":""},{"dropping-particle":"","family":"Choudhuri","given":"Dipayan","non-dropping-particle":"","parse-names":false,"suffix":""}],"container-title":"Asian Journal of Pharmaceutical and Clinical Research","id":"ITEM-2","issue":"5","issued":{"date-parts":[["2017"]]},"page":"345-348","title":"Effect of subchronic exposure to chromium on hematological and biochemical parameters of male albino rat","type":"article-journal","volume":"10"},"uris":["http://www.mendeley.com/documents/?uuid=d1a8fc1a-83bb-434d-9d30-992d2eafe1cf"]}],"mendeley":{"formattedCitation":"(Rm &amp; David, 2017; Saha et al., 2017)","plainTextFormattedCitation":"(Rm &amp; David, 2017; Saha et al., 2017)","previouslyFormattedCitation":"(Rm &amp; David, 2017; Saha et al., 2017)"},"properties":{"noteIndex":0},"schema":"https://github.com/citation-style-language/schema/raw/master/csl-citation.json"}</w:instrText>
      </w:r>
      <w:r w:rsidR="00053096" w:rsidRPr="00053096">
        <w:rPr>
          <w:rFonts w:asciiTheme="majorBidi" w:hAnsiTheme="majorBidi" w:cstheme="majorBidi"/>
          <w:b/>
          <w:bCs/>
          <w:color w:val="000000" w:themeColor="text1"/>
          <w:sz w:val="24"/>
          <w:szCs w:val="24"/>
          <w:lang w:bidi="ar-EG"/>
        </w:rPr>
        <w:fldChar w:fldCharType="separate"/>
      </w:r>
      <w:r w:rsidR="00053096" w:rsidRPr="00053096">
        <w:rPr>
          <w:rFonts w:asciiTheme="majorBidi" w:hAnsiTheme="majorBidi" w:cstheme="majorBidi"/>
          <w:b/>
          <w:bCs/>
          <w:noProof/>
          <w:color w:val="000000" w:themeColor="text1"/>
          <w:sz w:val="24"/>
          <w:szCs w:val="24"/>
          <w:lang w:bidi="ar-EG"/>
        </w:rPr>
        <w:t>(Rm &amp; David, 2017; Saha</w:t>
      </w:r>
      <w:r w:rsidR="00053096" w:rsidRPr="00053096">
        <w:rPr>
          <w:rFonts w:asciiTheme="majorBidi" w:hAnsiTheme="majorBidi" w:cstheme="majorBidi"/>
          <w:b/>
          <w:bCs/>
          <w:i/>
          <w:iCs/>
          <w:noProof/>
          <w:color w:val="000000" w:themeColor="text1"/>
          <w:sz w:val="24"/>
          <w:szCs w:val="24"/>
          <w:lang w:bidi="ar-EG"/>
        </w:rPr>
        <w:t xml:space="preserve"> et al</w:t>
      </w:r>
      <w:r w:rsidR="00053096" w:rsidRPr="00053096">
        <w:rPr>
          <w:rFonts w:asciiTheme="majorBidi" w:hAnsiTheme="majorBidi" w:cstheme="majorBidi"/>
          <w:b/>
          <w:bCs/>
          <w:noProof/>
          <w:color w:val="000000" w:themeColor="text1"/>
          <w:sz w:val="24"/>
          <w:szCs w:val="24"/>
          <w:lang w:bidi="ar-EG"/>
        </w:rPr>
        <w:t>., 2017)</w:t>
      </w:r>
      <w:r w:rsidR="00053096" w:rsidRPr="00053096">
        <w:rPr>
          <w:rFonts w:asciiTheme="majorBidi" w:hAnsiTheme="majorBidi" w:cstheme="majorBidi"/>
          <w:b/>
          <w:bCs/>
          <w:color w:val="000000" w:themeColor="text1"/>
          <w:sz w:val="24"/>
          <w:szCs w:val="24"/>
          <w:lang w:bidi="ar-EG"/>
        </w:rPr>
        <w:fldChar w:fldCharType="end"/>
      </w:r>
      <w:r w:rsidR="00053096">
        <w:rPr>
          <w:rFonts w:asciiTheme="majorBidi" w:hAnsiTheme="majorBidi" w:cstheme="majorBidi"/>
          <w:color w:val="000000" w:themeColor="text1"/>
          <w:sz w:val="24"/>
          <w:szCs w:val="24"/>
          <w:lang w:bidi="ar-EG"/>
        </w:rPr>
        <w:t xml:space="preserve">. </w:t>
      </w:r>
      <w:r w:rsidR="00C9293B">
        <w:rPr>
          <w:rFonts w:asciiTheme="majorBidi" w:hAnsiTheme="majorBidi" w:cstheme="majorBidi"/>
          <w:color w:val="000000" w:themeColor="text1"/>
          <w:sz w:val="24"/>
          <w:szCs w:val="24"/>
          <w:lang w:bidi="ar-EG"/>
        </w:rPr>
        <w:t>This may be due to variation in doses as well as short duration of exposure.</w:t>
      </w:r>
    </w:p>
    <w:p w14:paraId="14597DE7" w14:textId="5DBDDEEC" w:rsidR="0081567C" w:rsidRDefault="00875013" w:rsidP="00FA6001">
      <w:pPr>
        <w:tabs>
          <w:tab w:val="right" w:pos="8222"/>
        </w:tabs>
        <w:spacing w:line="360" w:lineRule="auto"/>
        <w:ind w:left="-450" w:right="84"/>
        <w:jc w:val="both"/>
      </w:pPr>
      <w:r w:rsidRPr="00651616">
        <w:rPr>
          <w:sz w:val="24"/>
          <w:szCs w:val="24"/>
        </w:rPr>
        <w:t xml:space="preserve">There are substantial evidences indicate that liver is targets for FPN and K2Cr2O7 intoxication </w:t>
      </w:r>
      <w:r w:rsidRPr="007353B3">
        <w:rPr>
          <w:b/>
          <w:bCs/>
          <w:sz w:val="24"/>
          <w:szCs w:val="24"/>
        </w:rPr>
        <w:fldChar w:fldCharType="begin" w:fldLock="1"/>
      </w:r>
      <w:r w:rsidR="007353B3" w:rsidRPr="007353B3">
        <w:rPr>
          <w:b/>
          <w:bCs/>
          <w:sz w:val="24"/>
          <w:szCs w:val="24"/>
        </w:rPr>
        <w:instrText>ADDIN CSL_CITATION {"citationItems":[{"id":"ITEM-1","itemData":{"DOI":"10.1191/0960327105ht585oa","ISSN":"09603271","PMID":"16408616","abstract":"Chromium is widely used in industry but exposure to chromium compounds in the workplace can result in nephrotoxicity. Various nephrotoxicants affect the brush border membrane (BBM) lining the epithelial cells of the proximal tubule, but there have been no studies regarding the effect of potassium dichromate (K2Cr2O7), a hexavalent chromium compound, on renal BBM. In the present work, the effect of administering a single intraperitoneal dose (15 mg/kg body weight) of K2Cr2O 7 on rat renal BBM enzymes and inorganic phosphate (Pi) transport was studied. The animals were administered normal saline (control) or K 2Cr2O7 and sacrificed 1,2,4 and 8 days after treatment. K2Cr2O7 induced reversible damage to the rat kidney function as indicated by serum creatinine (Scr) and urea nitrogen levels. The activities of BBM marker enzymes were significantly decreased in isolated BBM vesicles (BBMV) and homogenates of cortex and medulla on 1, 2 and 4 days after administration of K2Cr2O 7 with complete recovery to control values after 8 days. The decrease in the activities of the enzymes was mainly due to changes in maximum velocity (Vmax) values, while the Michaelis constant (Km) remained unchanged. The sodium dependent Pi transport across BBMV was reduced by 50% after treatment with K2Cr2O7. Thus, the administration of a single dose of K2Cr2O7 leads to impairment in the functions of renal BBM. These results suggest that the nephrotoxicity of K2Cr2O7 may be mediated, at least in part, by its effect on renal BBM. © 2005 Edward Arnold (Publishers) Ltd.","author":[{"dropping-particle":"","family":"Fatima","given":"S.","non-dropping-particle":"","parse-names":false,"suffix":""},{"dropping-particle":"","family":"Arivarasu","given":"N. A.","non-dropping-particle":"","parse-names":false,"suffix":""},{"dropping-particle":"","family":"Banday","given":"A. A.","non-dropping-particle":"","parse-names":false,"suffix":""},{"dropping-particle":"","family":"Yusufi","given":"A. N.K.","non-dropping-particle":"","parse-names":false,"suffix":""},{"dropping-particle":"","family":"Mahmood","given":"Riaz","non-dropping-particle":"","parse-names":false,"suffix":""}],"container-title":"Human and Experimental Toxicology","id":"ITEM-1","issue":"12","issued":{"date-parts":[["2005"]]},"page":"631-638","title":"Effect of potassium dichromate on renal brush border membrane enzymes and phosphate transport in rats","type":"article-journal","volume":"24"},"uris":["http://www.mendeley.com/documents/?uuid=e411acdc-83a1-4e1d-b327-b1ddeb044a69"]},{"id":"ITEM-2","itemData":{"DOI":"10.1016/j.pestbp.2014.10.013","ISBN":"1095-9939 (Electronic)\\r0048-3575 (Linking)","ISSN":"10959939","PMID":"25752424","abstract":"Fipronil is a relatively new insecticide of the phenpyrazole group. Fipronil-induced effects on antioxidant system and oxidative stress biomarkers are yet to be studied in vivo. The present study was undertaken to evaluate fipronil-induced alterations in the blood biochemical markers and tissue antioxidant enzymes after oral exposure in mice and to explore possible protective effect of pre-treatment of antioxidant vitamins against these alterations. Mice were divided into eight groups containing control, test and amelioration groups. Mice in the test groups were exposed to different doses of fipronil, i.e., 2.5, 5 and 10mg/kg bw, respectively for 28 days. Mice in the amelioration groups were treated with vitamin E or vitamin C (each at 100mg/kg) 2h prior to high dose (10mg/kg) of fipronil. Fipronil exposure at three doses caused significant increase in the blood biochemical markers, lipid peroxidation and prominent histopathological alterations; while level of antioxidant enzymes was severely decreased both in kidney and brain tissues. Prior administration of vitamin E or vitamin C in the fipronil exposed mice led to decrease in lipid peroxidation and significant increase in activities of antioxidants, viz., glutathione, total thiol, superoxide dismutase and catalase. Vitamin E and vitamin C administration in fipronil exposed mice also improved histological architecture of the kidney and brain when compared with fipronil alone treated groups. Thus, results of the present study demonstrated that in vivo fipronil exposure induces oxidative stress and pre-treatment with vitamin E or C can protect mice against this oxidative insult.","author":[{"dropping-particle":"","family":"Badgujar","given":"Prarabdh C.","non-dropping-particle":"","parse-names":false,"suffix":""},{"dropping-particle":"","family":"Pawar","given":"Nitin N.","non-dropping-particle":"","parse-names":false,"suffix":""},{"dropping-particle":"","family":"Chandratre","given":"Gauri A.","non-dropping-particle":"","parse-names":false,"suffix":""},{"dropping-particle":"","family":"Telang","given":"A. G.","non-dropping-particle":"","parse-names":false,"suffix":""},{"dropping-particle":"","family":"Sharma","given":"A. K.","non-dropping-particle":"","parse-names":false,"suffix":""}],"container-title":"Pesticide Biochemistry and Physiology","id":"ITEM-2","issued":{"date-parts":[["2015"]]},"page":"10-18","title":"Fipronil induced oxidative stress in kidney and brain of mice: Protective effect of vitamin E and vitamin C","type":"article-journal","volume":"118"},"uris":["http://www.mendeley.com/documents/?uuid=7599a5c4-012d-4f48-81cb-a05ecef47b4d"]}],"mendeley":{"formattedCitation":"(Badgujar, Pawar, Chandratre, Telang, &amp; Sharma, 2015; Fatima, Arivarasu, Banday, Yusufi, &amp; Mahmood, 2005)","manualFormatting":"(Badgujar et al., 2015; Fatima et al., 2005)","plainTextFormattedCitation":"(Badgujar, Pawar, Chandratre, Telang, &amp; Sharma, 2015; Fatima, Arivarasu, Banday, Yusufi, &amp; Mahmood, 2005)","previouslyFormattedCitation":"(Badgujar, Pawar, Chandratre, Telang, &amp; Sharma, 2015; Fatima, Arivarasu, Banday, Yusufi, &amp; Mahmood, 2005)"},"properties":{"noteIndex":0},"schema":"https://github.com/citation-style-language/schema/raw/master/csl-citation.json"}</w:instrText>
      </w:r>
      <w:r w:rsidRPr="007353B3">
        <w:rPr>
          <w:b/>
          <w:bCs/>
          <w:sz w:val="24"/>
          <w:szCs w:val="24"/>
        </w:rPr>
        <w:fldChar w:fldCharType="separate"/>
      </w:r>
      <w:r w:rsidR="006A64CB" w:rsidRPr="007353B3">
        <w:rPr>
          <w:b/>
          <w:bCs/>
          <w:noProof/>
          <w:sz w:val="24"/>
          <w:szCs w:val="24"/>
        </w:rPr>
        <w:t>(Badgujar</w:t>
      </w:r>
      <w:r w:rsidR="007353B3" w:rsidRPr="007353B3">
        <w:rPr>
          <w:b/>
          <w:bCs/>
          <w:noProof/>
          <w:sz w:val="24"/>
          <w:szCs w:val="24"/>
        </w:rPr>
        <w:t xml:space="preserve"> </w:t>
      </w:r>
      <w:r w:rsidR="007353B3" w:rsidRPr="007353B3">
        <w:rPr>
          <w:b/>
          <w:bCs/>
          <w:i/>
          <w:iCs/>
          <w:noProof/>
          <w:sz w:val="24"/>
          <w:szCs w:val="24"/>
        </w:rPr>
        <w:t>et al</w:t>
      </w:r>
      <w:r w:rsidR="007353B3" w:rsidRPr="007353B3">
        <w:rPr>
          <w:b/>
          <w:bCs/>
          <w:noProof/>
          <w:sz w:val="24"/>
          <w:szCs w:val="24"/>
        </w:rPr>
        <w:t>.,</w:t>
      </w:r>
      <w:r w:rsidR="006A64CB" w:rsidRPr="007353B3">
        <w:rPr>
          <w:b/>
          <w:bCs/>
          <w:noProof/>
          <w:sz w:val="24"/>
          <w:szCs w:val="24"/>
        </w:rPr>
        <w:t xml:space="preserve"> 2015; Fatima</w:t>
      </w:r>
      <w:r w:rsidR="007353B3" w:rsidRPr="007353B3">
        <w:rPr>
          <w:b/>
          <w:bCs/>
          <w:noProof/>
          <w:sz w:val="24"/>
          <w:szCs w:val="24"/>
        </w:rPr>
        <w:t xml:space="preserve"> </w:t>
      </w:r>
      <w:r w:rsidR="007353B3" w:rsidRPr="007353B3">
        <w:rPr>
          <w:b/>
          <w:bCs/>
          <w:i/>
          <w:iCs/>
          <w:noProof/>
          <w:sz w:val="24"/>
          <w:szCs w:val="24"/>
        </w:rPr>
        <w:t>et al</w:t>
      </w:r>
      <w:r w:rsidR="007353B3" w:rsidRPr="007353B3">
        <w:rPr>
          <w:b/>
          <w:bCs/>
          <w:noProof/>
          <w:sz w:val="24"/>
          <w:szCs w:val="24"/>
        </w:rPr>
        <w:t>.,</w:t>
      </w:r>
      <w:r w:rsidR="006A64CB" w:rsidRPr="007353B3">
        <w:rPr>
          <w:b/>
          <w:bCs/>
          <w:noProof/>
          <w:sz w:val="24"/>
          <w:szCs w:val="24"/>
        </w:rPr>
        <w:t xml:space="preserve"> 2005)</w:t>
      </w:r>
      <w:r w:rsidRPr="007353B3">
        <w:rPr>
          <w:b/>
          <w:bCs/>
          <w:sz w:val="24"/>
          <w:szCs w:val="24"/>
        </w:rPr>
        <w:fldChar w:fldCharType="end"/>
      </w:r>
      <w:r w:rsidRPr="00651616">
        <w:rPr>
          <w:sz w:val="24"/>
          <w:szCs w:val="24"/>
        </w:rPr>
        <w:t xml:space="preserve"> as they are highly perfused organs with a high blood volume. In addition, the liver is the main site for xenobiotic metabolism as it  contains numerous xenobiotic metabolizing enzymes</w:t>
      </w:r>
      <w:bookmarkStart w:id="7" w:name="_Hlk41931551"/>
      <w:r w:rsidRPr="00651616">
        <w:rPr>
          <w:sz w:val="24"/>
          <w:szCs w:val="24"/>
        </w:rPr>
        <w:t xml:space="preserve"> </w:t>
      </w:r>
      <w:bookmarkEnd w:id="7"/>
      <w:r w:rsidRPr="00651616">
        <w:rPr>
          <w:b/>
          <w:bCs/>
          <w:sz w:val="24"/>
          <w:szCs w:val="24"/>
        </w:rPr>
        <w:fldChar w:fldCharType="begin" w:fldLock="1"/>
      </w:r>
      <w:r w:rsidR="00EF37B0">
        <w:rPr>
          <w:b/>
          <w:bCs/>
          <w:sz w:val="24"/>
          <w:szCs w:val="24"/>
        </w:rPr>
        <w:instrText>ADDIN CSL_CITATION {"citationItems":[{"id":"ITEM-1","itemData":{"ISBN":"9786468600","abstract":"Although it is well established in animals that acute cold exposure markedly increases the oxidation of energy substrates, the absolute quality and quantity of substrate oxidation is poorly understood in humans. This study compared the rates of substrate utilization in seven healthy young men exposed to both the warm (control exposure at 29 C; semi-nude, 14 h fasted) and to the cold for 2 h (10 C, 1 ms 1 wind velocity). Substrate utilization was calculated using indirect calorimetry and the nonprotein respiratory exchange ratio, which was derived from the urinary urea nitrogen output. Cold exposure induced a 3.10.2 C drop in mean body temperature and a body heat debt of 825.963.3 kJ p &lt;0.01). These parameters remained essentially unchanged in the warm. Cold exposure elevated the 2 h energy expenditure 2.46-fold in comparison to the warm p &lt;0.01). This cold-induced thermogenesis was accompanied by increases of 588% in carbohydrate oxidation p &lt;0.01) and 63% in fat oxidation p &lt;0.05), whereas protein oxidation remained unchanged. Although the greatest proportion of the energy expenditure in the warm was derived from lipid (59%), carbohydrate oxidation represented the major fuel for thermogenesis in the cold, since it accounted for 51% of the corresponding total energy expenditure. The results demonstrate that cold exposure causes a much greater increase in the utilization of carbohydrate than lipid. It is suggested that these substrates are directly utilized for thermogenesis in the shivering skeletal muscles.","author":[{"dropping-particle":"","family":"Hogson, E. and Levi","given":"P.E","non-dropping-particle":"","parse-names":false,"suffix":""}],"id":"ITEM-1","issued":{"date-parts":[["2004"]]},"title":"A TEXTBOOK OF MODERN TOXICOLOGY Edited by","type":"book"},"uris":["http://www.mendeley.com/documents/?uuid=5183136a-a5e5-4539-8156-f1494107c3f4"]}],"mendeley":{"formattedCitation":"(Hogson, E. and Levi, 2004)","manualFormatting":"(Hogson et al., 2004)","plainTextFormattedCitation":"(Hogson, E. and Levi, 2004)","previouslyFormattedCitation":"(Hogson, E. and Levi, 2004)"},"properties":{"noteIndex":0},"schema":"https://github.com/citation-style-language/schema/raw/master/csl-citation.json"}</w:instrText>
      </w:r>
      <w:r w:rsidRPr="00651616">
        <w:rPr>
          <w:b/>
          <w:bCs/>
          <w:sz w:val="24"/>
          <w:szCs w:val="24"/>
        </w:rPr>
        <w:fldChar w:fldCharType="separate"/>
      </w:r>
      <w:r w:rsidRPr="00651616">
        <w:rPr>
          <w:b/>
          <w:bCs/>
          <w:noProof/>
          <w:sz w:val="24"/>
          <w:szCs w:val="24"/>
        </w:rPr>
        <w:t xml:space="preserve">(Hogson </w:t>
      </w:r>
      <w:r w:rsidRPr="00651616">
        <w:rPr>
          <w:b/>
          <w:bCs/>
          <w:i/>
          <w:iCs/>
          <w:noProof/>
          <w:sz w:val="24"/>
          <w:szCs w:val="24"/>
        </w:rPr>
        <w:t>et al</w:t>
      </w:r>
      <w:r w:rsidRPr="00651616">
        <w:rPr>
          <w:b/>
          <w:bCs/>
          <w:noProof/>
          <w:sz w:val="24"/>
          <w:szCs w:val="24"/>
        </w:rPr>
        <w:t>., 2004)</w:t>
      </w:r>
      <w:r w:rsidRPr="00651616">
        <w:rPr>
          <w:b/>
          <w:bCs/>
          <w:sz w:val="24"/>
          <w:szCs w:val="24"/>
        </w:rPr>
        <w:fldChar w:fldCharType="end"/>
      </w:r>
      <w:r w:rsidRPr="00651616">
        <w:rPr>
          <w:b/>
          <w:bCs/>
          <w:sz w:val="24"/>
          <w:szCs w:val="24"/>
        </w:rPr>
        <w:t>.</w:t>
      </w:r>
      <w:r w:rsidRPr="00651616">
        <w:rPr>
          <w:sz w:val="24"/>
          <w:szCs w:val="24"/>
        </w:rPr>
        <w:t xml:space="preserve"> So, the present study was designed to evaluate the effect of </w:t>
      </w:r>
      <w:r w:rsidR="00651616" w:rsidRPr="00651616">
        <w:rPr>
          <w:sz w:val="24"/>
          <w:szCs w:val="24"/>
        </w:rPr>
        <w:t>Fipronil and/or Potassium dichromate on</w:t>
      </w:r>
      <w:r w:rsidR="00651616">
        <w:rPr>
          <w:sz w:val="24"/>
          <w:szCs w:val="24"/>
        </w:rPr>
        <w:t xml:space="preserve"> </w:t>
      </w:r>
      <w:r w:rsidR="00651616" w:rsidRPr="00651616">
        <w:rPr>
          <w:sz w:val="24"/>
          <w:szCs w:val="24"/>
        </w:rPr>
        <w:t>liver function parameters</w:t>
      </w:r>
      <w:r w:rsidR="00651616">
        <w:rPr>
          <w:sz w:val="24"/>
          <w:szCs w:val="24"/>
        </w:rPr>
        <w:t xml:space="preserve">, </w:t>
      </w:r>
      <w:r w:rsidR="00651616" w:rsidRPr="00651616">
        <w:rPr>
          <w:sz w:val="24"/>
          <w:szCs w:val="24"/>
        </w:rPr>
        <w:t xml:space="preserve">oxidative stress </w:t>
      </w:r>
      <w:r w:rsidR="00EE6FBD" w:rsidRPr="00651616">
        <w:rPr>
          <w:sz w:val="24"/>
          <w:szCs w:val="24"/>
        </w:rPr>
        <w:t>markers,</w:t>
      </w:r>
      <w:r w:rsidR="00651616">
        <w:rPr>
          <w:sz w:val="24"/>
          <w:szCs w:val="24"/>
        </w:rPr>
        <w:t xml:space="preserve"> and inflammatory cytokines </w:t>
      </w:r>
      <w:r w:rsidR="00651616" w:rsidRPr="00651616">
        <w:rPr>
          <w:sz w:val="24"/>
          <w:szCs w:val="24"/>
        </w:rPr>
        <w:t>(TNF-α and IL-6)</w:t>
      </w:r>
      <w:r w:rsidR="0081567C">
        <w:rPr>
          <w:rFonts w:hint="cs"/>
          <w:sz w:val="24"/>
          <w:szCs w:val="24"/>
          <w:rtl/>
        </w:rPr>
        <w:t>.</w:t>
      </w:r>
      <w:r w:rsidR="0081567C" w:rsidRPr="0081567C">
        <w:t xml:space="preserve"> </w:t>
      </w:r>
    </w:p>
    <w:p w14:paraId="50D3CC75" w14:textId="258E11F3" w:rsidR="0081567C" w:rsidRPr="00EF37B0" w:rsidRDefault="0081567C" w:rsidP="00FA6001">
      <w:pPr>
        <w:pStyle w:val="Normal14pt"/>
        <w:spacing w:line="360" w:lineRule="auto"/>
        <w:ind w:left="-450" w:firstLine="0"/>
        <w:jc w:val="both"/>
        <w:rPr>
          <w:b/>
          <w:bCs/>
          <w:sz w:val="24"/>
          <w:szCs w:val="24"/>
          <w:rtl/>
        </w:rPr>
      </w:pPr>
      <w:r w:rsidRPr="0081567C">
        <w:rPr>
          <w:sz w:val="24"/>
          <w:szCs w:val="24"/>
        </w:rPr>
        <w:t>The present study showed that intoxication with Fipronil and/or Potassium dichromate</w:t>
      </w:r>
      <w:r>
        <w:rPr>
          <w:sz w:val="24"/>
          <w:szCs w:val="24"/>
        </w:rPr>
        <w:t xml:space="preserve"> </w:t>
      </w:r>
      <w:r w:rsidRPr="0081567C">
        <w:rPr>
          <w:sz w:val="24"/>
          <w:szCs w:val="24"/>
        </w:rPr>
        <w:t>markedly increased the levels of the serum hepatic enzymes (AST, ALT, total protein, and albumin)</w:t>
      </w:r>
      <w:r>
        <w:rPr>
          <w:sz w:val="24"/>
          <w:szCs w:val="24"/>
        </w:rPr>
        <w:t>.</w:t>
      </w:r>
      <w:r w:rsidRPr="0081567C">
        <w:t xml:space="preserve"> </w:t>
      </w:r>
      <w:r w:rsidRPr="00EF37B0">
        <w:rPr>
          <w:sz w:val="24"/>
          <w:szCs w:val="24"/>
        </w:rPr>
        <w:t xml:space="preserve">Transaminases (AST and ALT) used as an indicator of liver damage, and ALT is considered as a gold indicator for liver injury </w:t>
      </w:r>
      <w:r w:rsidRPr="00EF37B0">
        <w:rPr>
          <w:b/>
          <w:bCs/>
          <w:i/>
          <w:iCs/>
          <w:sz w:val="24"/>
          <w:szCs w:val="24"/>
        </w:rPr>
        <w:fldChar w:fldCharType="begin" w:fldLock="1"/>
      </w:r>
      <w:r w:rsidR="00EF37B0" w:rsidRPr="00EF37B0">
        <w:rPr>
          <w:b/>
          <w:bCs/>
          <w:i/>
          <w:iCs/>
          <w:sz w:val="24"/>
          <w:szCs w:val="24"/>
        </w:rPr>
        <w:instrText>ADDIN CSL_CITATION {"citationItems":[{"id":"ITEM-1","itemData":{"DOI":"10.17179/excli2016-800","ISSN":"1611-2156 (Print)","PMID":"28337112","abstract":"Laboratory testing is important in the diagnosis and monitoring of liver injury and  disease. Current liver tests include plasma markers of injury (e.g. aminotransferases, γ-glutamyl transferase, and alkaline phosphatase), markers of function (e.g. prothrombin time, bilirubin), viral hepatitis serologies, and markers of proliferation (e.g. α-fetoprotein). Among the injury markers, the alanine and aspartate aminotransferases (ALT and AST, respectively) are the most commonly used. However, interpretation of ALT and AST plasma levels can be complicated. Furthermore, both have poor prognostic utility in acute liver injury and liver failure. New biomarkers of liver injury are rapidly being developed, and the US Food and Drug Administration the European Medicines Agency have recently expressed support for use of some of these biomarkers in drug trials. The purpose of this paper is to review the history of liver biomarkers, to summarize mechanisms and interpretation of ALT and AST elevation in plasma in liver injury (particularly acute liver injury), and to discuss emerging liver injury biomarkers that may complement or even replace ALT and AST in the future.","author":[{"dropping-particle":"","family":"McGill","given":"Mitchell R","non-dropping-particle":"","parse-names":false,"suffix":""}],"container-title":"EXCLI journal","id":"ITEM-1","issued":{"date-parts":[["2016"]]},"language":"eng","page":"817-828","title":"The past and present of serum aminotransferases and the future of liver injury  biomarkers.","type":"article-journal","volume":"15"},"uris":["http://www.mendeley.com/documents/?uuid=54cef8a0-298a-4a07-9738-468e7581b8fe"]}],"mendeley":{"formattedCitation":"(McGill, 2016)","plainTextFormattedCitation":"(McGill, 2016)","previouslyFormattedCitation":"(McGill, 2016)"},"properties":{"noteIndex":0},"schema":"https://github.com/citation-style-language/schema/raw/master/csl-citation.json"}</w:instrText>
      </w:r>
      <w:r w:rsidRPr="00EF37B0">
        <w:rPr>
          <w:b/>
          <w:bCs/>
          <w:i/>
          <w:iCs/>
          <w:sz w:val="24"/>
          <w:szCs w:val="24"/>
        </w:rPr>
        <w:fldChar w:fldCharType="separate"/>
      </w:r>
      <w:r w:rsidR="006A64CB" w:rsidRPr="00EF37B0">
        <w:rPr>
          <w:bCs/>
          <w:iCs/>
          <w:noProof/>
          <w:sz w:val="24"/>
          <w:szCs w:val="24"/>
        </w:rPr>
        <w:t>(McGill, 2016)</w:t>
      </w:r>
      <w:r w:rsidRPr="00EF37B0">
        <w:rPr>
          <w:b/>
          <w:bCs/>
          <w:i/>
          <w:iCs/>
          <w:sz w:val="24"/>
          <w:szCs w:val="24"/>
        </w:rPr>
        <w:fldChar w:fldCharType="end"/>
      </w:r>
      <w:r w:rsidRPr="00EF37B0">
        <w:rPr>
          <w:b/>
          <w:bCs/>
          <w:i/>
          <w:iCs/>
          <w:sz w:val="24"/>
          <w:szCs w:val="24"/>
        </w:rPr>
        <w:t>.</w:t>
      </w:r>
      <w:r w:rsidRPr="00EF37B0">
        <w:rPr>
          <w:sz w:val="24"/>
          <w:szCs w:val="24"/>
        </w:rPr>
        <w:t xml:space="preserve"> The increased levels of these enzymes in serum may be due to loss of structural integrity of the liver as a result of their released into the blood circulation after the rupture of the plasma membrane </w:t>
      </w:r>
      <w:r w:rsidRPr="00EF37B0">
        <w:rPr>
          <w:b/>
          <w:bCs/>
          <w:sz w:val="24"/>
          <w:szCs w:val="24"/>
        </w:rPr>
        <w:fldChar w:fldCharType="begin" w:fldLock="1"/>
      </w:r>
      <w:r w:rsidR="00EF37B0" w:rsidRPr="00EF37B0">
        <w:rPr>
          <w:b/>
          <w:bCs/>
          <w:sz w:val="24"/>
          <w:szCs w:val="24"/>
        </w:rPr>
        <w:instrText>ADDIN CSL_CITATION {"citationItems":[{"id":"ITEM-1","itemData":{"author":[{"dropping-particle":"","family":"Velmurugan","given":"V","non-dropping-particle":"","parse-names":false,"suffix":""},{"dropping-particle":"","family":"Ganesan","given":"Arunachalam","non-dropping-particle":"","parse-names":false,"suffix":""}],"container-title":"International Journal of Pharmacy and Pharmaceutical Sciences","id":"ITEM-1","issued":{"date-parts":[["2014","1","1"]]},"page":"491-493","title":"Hepatoprotective activity of methanol extract of stem bark of prosopis cineraria linn against carbon tetrachloride induced hepatotoxicity","type":"article-journal","volume":"6"},"uris":["http://www.mendeley.com/documents/?uuid=2bd70742-b52b-46bd-a55c-1dfd47ce5ce5"]}],"mendeley":{"formattedCitation":"(Velmurugan &amp; Ganesan, 2014)","manualFormatting":"(Velmurugan et al., 2014)","plainTextFormattedCitation":"(Velmurugan &amp; Ganesan, 2014)","previouslyFormattedCitation":"(Velmurugan &amp; Ganesan, 2014)"},"properties":{"noteIndex":0},"schema":"https://github.com/citation-style-language/schema/raw/master/csl-citation.json"}</w:instrText>
      </w:r>
      <w:r w:rsidRPr="00EF37B0">
        <w:rPr>
          <w:b/>
          <w:bCs/>
          <w:sz w:val="24"/>
          <w:szCs w:val="24"/>
        </w:rPr>
        <w:fldChar w:fldCharType="separate"/>
      </w:r>
      <w:r w:rsidRPr="00EF37B0">
        <w:rPr>
          <w:b/>
          <w:bCs/>
          <w:noProof/>
          <w:sz w:val="24"/>
          <w:szCs w:val="24"/>
        </w:rPr>
        <w:t xml:space="preserve">(Velmurugan </w:t>
      </w:r>
      <w:r w:rsidRPr="00EF37B0">
        <w:rPr>
          <w:b/>
          <w:bCs/>
          <w:i/>
          <w:iCs/>
          <w:noProof/>
          <w:sz w:val="24"/>
          <w:szCs w:val="24"/>
        </w:rPr>
        <w:t>et al</w:t>
      </w:r>
      <w:r w:rsidRPr="00EF37B0">
        <w:rPr>
          <w:b/>
          <w:bCs/>
          <w:noProof/>
          <w:sz w:val="24"/>
          <w:szCs w:val="24"/>
        </w:rPr>
        <w:t>., 2014)</w:t>
      </w:r>
      <w:r w:rsidRPr="00EF37B0">
        <w:rPr>
          <w:b/>
          <w:bCs/>
          <w:sz w:val="24"/>
          <w:szCs w:val="24"/>
        </w:rPr>
        <w:fldChar w:fldCharType="end"/>
      </w:r>
      <w:r w:rsidRPr="00EF37B0">
        <w:rPr>
          <w:b/>
          <w:bCs/>
          <w:sz w:val="24"/>
          <w:szCs w:val="24"/>
        </w:rPr>
        <w:t>.</w:t>
      </w:r>
      <w:r w:rsidRPr="00EF37B0">
        <w:rPr>
          <w:sz w:val="24"/>
          <w:szCs w:val="24"/>
        </w:rPr>
        <w:t xml:space="preserve"> Furthermore, hepatic damage influence </w:t>
      </w:r>
      <w:r w:rsidRPr="00EF37B0">
        <w:rPr>
          <w:sz w:val="24"/>
          <w:szCs w:val="24"/>
        </w:rPr>
        <w:lastRenderedPageBreak/>
        <w:t xml:space="preserve">the biosynthesis of total protein and albumin result in Declining in serum levels of total protein and albumin </w:t>
      </w:r>
      <w:r w:rsidRPr="00EF37B0">
        <w:rPr>
          <w:b/>
          <w:bCs/>
          <w:i/>
          <w:iCs/>
          <w:sz w:val="24"/>
          <w:szCs w:val="24"/>
        </w:rPr>
        <w:fldChar w:fldCharType="begin" w:fldLock="1"/>
      </w:r>
      <w:r w:rsidR="00EF37B0" w:rsidRPr="00EF37B0">
        <w:rPr>
          <w:b/>
          <w:bCs/>
          <w:i/>
          <w:iCs/>
          <w:sz w:val="24"/>
          <w:szCs w:val="24"/>
        </w:rPr>
        <w:instrText>ADDIN CSL_CITATION {"citationItems":[{"id":"ITEM-1","itemData":{"DOI":"10.5455/jice.20120403013109","author":[{"dropping-particle":"","family":"Kanwal, Z., Muhammad, I.S., Muhammad","given":"A.M","non-dropping-particle":"","parse-names":false,"suffix":""}],"container-title":"Journal of Intercultural Ethnopharmacology","id":"ITEM-1","issue":"1","issued":{"date-parts":[["2012"]]},"page":"7","title":"Effect of Momordica charantia (bitter melon) on serum glucose level and various protein parameters in acetaminophen intoxicated rabbits","type":"article-journal","volume":"1"},"uris":["http://www.mendeley.com/documents/?uuid=4aa1097c-f8aa-40c9-8b8f-d1b84f8abdfd"]}],"mendeley":{"formattedCitation":"(Kanwal, Z., Muhammad, I.S., Muhammad, 2012)","manualFormatting":"(Kanwal et al., 2012)","plainTextFormattedCitation":"(Kanwal, Z., Muhammad, I.S., Muhammad, 2012)","previouslyFormattedCitation":"(Kanwal, Z., Muhammad, I.S., Muhammad, 2012)"},"properties":{"noteIndex":0},"schema":"https://github.com/citation-style-language/schema/raw/master/csl-citation.json"}</w:instrText>
      </w:r>
      <w:r w:rsidRPr="00EF37B0">
        <w:rPr>
          <w:b/>
          <w:bCs/>
          <w:i/>
          <w:iCs/>
          <w:sz w:val="24"/>
          <w:szCs w:val="24"/>
        </w:rPr>
        <w:fldChar w:fldCharType="separate"/>
      </w:r>
      <w:r w:rsidRPr="00EF37B0">
        <w:rPr>
          <w:b/>
          <w:bCs/>
          <w:iCs/>
          <w:noProof/>
          <w:sz w:val="24"/>
          <w:szCs w:val="24"/>
        </w:rPr>
        <w:t xml:space="preserve">(Kanwal </w:t>
      </w:r>
      <w:r w:rsidRPr="00EF37B0">
        <w:rPr>
          <w:b/>
          <w:bCs/>
          <w:i/>
          <w:noProof/>
          <w:sz w:val="24"/>
          <w:szCs w:val="24"/>
        </w:rPr>
        <w:t>et al</w:t>
      </w:r>
      <w:r w:rsidRPr="00EF37B0">
        <w:rPr>
          <w:b/>
          <w:bCs/>
          <w:iCs/>
          <w:noProof/>
          <w:sz w:val="24"/>
          <w:szCs w:val="24"/>
        </w:rPr>
        <w:t>., 2012)</w:t>
      </w:r>
      <w:r w:rsidRPr="00EF37B0">
        <w:rPr>
          <w:b/>
          <w:bCs/>
          <w:i/>
          <w:iCs/>
          <w:sz w:val="24"/>
          <w:szCs w:val="24"/>
        </w:rPr>
        <w:fldChar w:fldCharType="end"/>
      </w:r>
      <w:r w:rsidRPr="00EF37B0">
        <w:rPr>
          <w:b/>
          <w:bCs/>
          <w:i/>
          <w:iCs/>
          <w:sz w:val="24"/>
          <w:szCs w:val="24"/>
        </w:rPr>
        <w:t xml:space="preserve"> </w:t>
      </w:r>
      <w:r w:rsidRPr="00EF37B0">
        <w:rPr>
          <w:sz w:val="24"/>
          <w:szCs w:val="24"/>
        </w:rPr>
        <w:t xml:space="preserve">. </w:t>
      </w:r>
      <w:bookmarkStart w:id="8" w:name="_Hlk42282667"/>
      <w:r w:rsidRPr="00EF37B0">
        <w:rPr>
          <w:sz w:val="24"/>
          <w:szCs w:val="24"/>
        </w:rPr>
        <w:t xml:space="preserve">These findings were in agreement with those of several published studies on FPN and K2Cr2O7 intoxication </w:t>
      </w:r>
      <w:r w:rsidR="00EF37B0" w:rsidRPr="00EF37B0">
        <w:rPr>
          <w:b/>
          <w:bCs/>
          <w:sz w:val="24"/>
          <w:szCs w:val="24"/>
        </w:rPr>
        <w:fldChar w:fldCharType="begin" w:fldLock="1"/>
      </w:r>
      <w:r w:rsidR="00A53CCE">
        <w:rPr>
          <w:b/>
          <w:bCs/>
          <w:sz w:val="24"/>
          <w:szCs w:val="24"/>
        </w:rPr>
        <w:instrText>ADDIN CSL_CITATION {"citationItems":[{"id":"ITEM-1","itemData":{"DOI":"10.1016/j.etp.2010.04.005","ISSN":"09402993","abstract":"Chromium, a major environmental pollutant, is known for its wide toxic manifestations. The present experiment pertains to the protective role of selenium (Se) against K 2Cr 2O 7-induced hepatotoxicity. Female Wistar rats were divided into four groups of six each: group I served as controls which received standard diet; group II received in drinking water K 2Cr 2O 7 alone (700ppm); group III received both K 2Cr 2O 7 and Se (0.5 Na 2SeO 3 mg/kg of diet); group IV received Se (0.5mg/kg of diet) for 3 weeks. Exposure of rats to chromium promoted oxidative stress with an increase in malondialdehyde (MDA) and a decrease in glutathione (GSH) levels. A decrease in glutathione peroxidase (GPx) and an increase in superoxide dismutase (SOD) and catalase (CAT) activities were observed. Se supplementation to the diet of group III improved all the parameters cited above. Yet, plasma transaminases (AST and ALT), lactate dehydrogenase (LDH) activities, cholesterol, triglycerides (TG) and low density lipoprotein-cholesterol (LDL-C) levels increased, while high density lipoprotein-cholesterol (HDL-C) decreased. Co-administration of Se to the diet of group III restored hepatic markers to near-normal values. The biochemical results confirmed the histopathological findings. Therefore, our investigation revealed that Se was effective in preventing K 2Cr 2O 7-induced hepatotoxicity. © 2010 Elsevier GmbH.","author":[{"dropping-particle":"","family":"Soudani","given":"Nejla","non-dropping-particle":"","parse-names":false,"suffix":""},{"dropping-particle":"","family":"Amara","given":"Ibtissem","non-dropping-particle":"Ben","parse-names":false,"suffix":""},{"dropping-particle":"","family":"Sefi","given":"Mediha","non-dropping-particle":"","parse-names":false,"suffix":""},{"dropping-particle":"","family":"Boudawara","given":"Tahia","non-dropping-particle":"","parse-names":false,"suffix":""},{"dropping-particle":"","family":"Zeghal","given":"Najiba","non-dropping-particle":"","parse-names":false,"suffix":""}],"container-title":"Experimental and Toxicologic Pathology","id":"ITEM-1","issue":"6","issued":{"date-parts":[["2011"]]},"page":"541-548","publisher":"Elsevier GmbH.","title":"Effects of selenium on chromium (VI)-induced hepatotoxicity in adult rats","type":"article-journal","volume":"63"},"uris":["http://www.mendeley.com/documents/?uuid=0d664ef2-66cb-4c9b-95c8-6e8fa5088d3a"]},{"id":"ITEM-2","itemData":{"DOI":"10.1177/0748233713498446","ISSN":"14770393","abstract":"Environmental and occupational exposure to chromium compounds, especially hexavalent chromium (Cr(VI)), is widely recognized as potentially hepatotoxic in humans and animals. Its toxicity is associated with overproduction of free radicals, which induces oxidative damage. This study focused on the possible protective effect of propylthiouracil (PTU) against potassium dichromate (K2Cr2O7). Female mice were divided into four groups (groups I–IV) with seven animals in each group. Group I served as a control, which received tap water; group II received K2Cr2O7alone (75 mg kg−1body weight (b.w.)) via drinking water; group III received both K2Cr2O7via drinking water and PTU by intramuscular injection at a dose 2.5 mg/100 g−1b.w. twice a week, and group IV received PTU alone twice a week for 30 days. Exposure of mice to Cr promoted oxidative stress with an increase in malondialdehyde, protein carbonyl, and advanced oxidation protein product levels. Nonenzymatic antioxidants such as glutathione, nonprotein thiol, vitamin C levels and enzymatic antioxidant activities such as glutathione peroxidase and superoxide dismutase were decreased, while catalase activity was increased. Biomarkers of liver injury such as aspartate and alanine transaminases, lactate dehydrogenase activities, bilirubin, albumin, and glucose levels were increased, while triglyceride and cholesterol levels decreased. Coadministration of PTU restored the above-mentioned parameters to near-normal values. The histological findings confirmed the biochemical results. © 2013, SAGE Publications. All rights reserved.","author":[{"dropping-particle":"","family":"Hamida","given":"Fatma","non-dropping-particle":"Ben","parse-names":false,"suffix":""},{"dropping-particle":"","family":"Troudi","given":"Afef","non-dropping-particle":"","parse-names":false,"suffix":""},{"dropping-particle":"","family":"Sefi","given":"Madiha","non-dropping-particle":"","parse-names":false,"suffix":""},{"dropping-particle":"","family":"Boudawara","given":"Tahia","non-dropping-particle":"","parse-names":false,"suffix":""},{"dropping-particle":"","family":"Zeghal","given":"Najiba","non-dropping-particle":"","parse-names":false,"suffix":""}],"container-title":"Toxicology and Industrial Health","id":"ITEM-2","issue":"2","issued":{"date-parts":[["2016"]]},"page":"235-245","title":"The protective effect of propylthiouracil against hepatotoxicity induced by chromium in adult mice","type":"article-journal","volume":"32"},"uris":["http://www.mendeley.com/documents/?uuid=550e1de2-bd97-41c6-b6f3-9557a64ad582"]},{"id":"ITEM-3","itemData":{"DOI":"10.1016/j.fct.2018.01.055","ISSN":"0278-6915","author":[{"dropping-particle":"","family":"Abdel-daim","given":"Mohamed M","non-dropping-particle":"","parse-names":false,"suffix":""},{"dropping-particle":"","family":"Abdeen","given":"Ahmed","non-dropping-particle":"","parse-names":false,"suffix":""}],"container-title":"Food and Chemical Toxicology","id":"ITEM-3","issue":"February","issued":{"date-parts":[["2018"]]},"page":"69-77","publisher":"Elsevier","title":"Protective e ff ects of rosuvastatin and vitamin E against fi pronil-mediated oxidative damage and apoptosis in rat liver and kidney","type":"article-journal","volume":"114"},"uris":["http://www.mendeley.com/documents/?uuid=3eb05690-3aac-47ba-b461-a8775ae100eb"]},{"id":"ITEM-4","itemData":{"ISBN":"1135601836","author":[{"dropping-particle":"","family":"Elgawish","given":"Rania Abdelrahman","non-dropping-particle":"","parse-names":false,"suffix":""},{"dropping-particle":"","family":"Soliman","given":"Mohamed T A","non-dropping-particle":"","parse-names":false,"suffix":""}],"id":"ITEM-4","issued":{"date-parts":[["2019"]]},"page":"199-207","publisher":"Environmental Science and Pollution Research","title":"Hepatoprotective activity of Uncaria tomentosa extract against sub-chronic exposure to fipronil in male rats","type":"article-journal"},"uris":["http://www.mendeley.com/documents/?uuid=4031bca3-dcfa-46df-a548-c96a96888f73"]},{"id":"ITEM-5","itemData":{"author":[{"dropping-particle":"","family":"Albasher","given":"Gadah","non-dropping-particle":"","parse-names":false,"suffix":""},{"dropping-particle":"","family":"Abdel-daim","given":"Mohamed M","non-dropping-particle":"","parse-names":false,"suffix":""}],"id":"ITEM-5","issued":{"date-parts":[["2019"]]},"publisher":"Environmental Science and Pollution Research","title":"Synergistic antioxidant effects of resveratrol and curcumin against fipronil-triggered oxidative damage in male albino rats","type":"article-journal"},"uris":["http://www.mendeley.com/documents/?uuid=47bf26d4-aa2c-4b37-8049-8b481fb02251"]}],"mendeley":{"formattedCitation":"(Abdel-daim &amp; Abdeen, 2018; Albasher &amp; Abdel-daim, 2019; Ben Hamida, Troudi, Sefi, Boudawara, &amp; Zeghal, 2016; Elgawish &amp; Soliman, 2019; Soudani, Ben Amara, Sefi, Boudawara, &amp; Zeghal, 2011)","manualFormatting":"(Abdel-daim et al., 2018; Albasher et al., 2019; Ben Hamida et al., 2016; Elgawish et al., 2019; Soudani et al., 2011)","plainTextFormattedCitation":"(Abdel-daim &amp; Abdeen, 2018; Albasher &amp; Abdel-daim, 2019; Ben Hamida, Troudi, Sefi, Boudawara, &amp; Zeghal, 2016; Elgawish &amp; Soliman, 2019; Soudani, Ben Amara, Sefi, Boudawara, &amp; Zeghal, 2011)","previouslyFormattedCitation":"(Abdel-daim &amp; Abdeen, 2018; Albasher &amp; Abdel-daim, 2019; Ben Hamida, Troudi, Sefi, Boudawara, &amp; Zeghal, 2016; Elgawish &amp; Soliman, 2019; Soudani, Ben Amara, Sefi, Boudawara, &amp; Zeghal, 2011)"},"properties":{"noteIndex":0},"schema":"https://github.com/citation-style-language/schema/raw/master/csl-citation.json"}</w:instrText>
      </w:r>
      <w:r w:rsidR="00EF37B0" w:rsidRPr="00EF37B0">
        <w:rPr>
          <w:b/>
          <w:bCs/>
          <w:sz w:val="24"/>
          <w:szCs w:val="24"/>
        </w:rPr>
        <w:fldChar w:fldCharType="separate"/>
      </w:r>
      <w:r w:rsidR="00EF37B0" w:rsidRPr="00EF37B0">
        <w:rPr>
          <w:b/>
          <w:bCs/>
          <w:noProof/>
          <w:sz w:val="24"/>
          <w:szCs w:val="24"/>
        </w:rPr>
        <w:t xml:space="preserve">(Abdel-daim </w:t>
      </w:r>
      <w:r w:rsidR="00EF37B0" w:rsidRPr="007353B3">
        <w:rPr>
          <w:b/>
          <w:bCs/>
          <w:i/>
          <w:iCs/>
          <w:noProof/>
          <w:sz w:val="24"/>
          <w:szCs w:val="24"/>
        </w:rPr>
        <w:t>et al</w:t>
      </w:r>
      <w:r w:rsidR="00EF37B0" w:rsidRPr="00EF37B0">
        <w:rPr>
          <w:b/>
          <w:bCs/>
          <w:noProof/>
          <w:sz w:val="24"/>
          <w:szCs w:val="24"/>
        </w:rPr>
        <w:t xml:space="preserve">., 2018; Albasher </w:t>
      </w:r>
      <w:r w:rsidR="00EF37B0" w:rsidRPr="007353B3">
        <w:rPr>
          <w:b/>
          <w:bCs/>
          <w:i/>
          <w:iCs/>
          <w:noProof/>
          <w:sz w:val="24"/>
          <w:szCs w:val="24"/>
        </w:rPr>
        <w:t>et al</w:t>
      </w:r>
      <w:r w:rsidR="00EF37B0" w:rsidRPr="00EF37B0">
        <w:rPr>
          <w:b/>
          <w:bCs/>
          <w:noProof/>
          <w:sz w:val="24"/>
          <w:szCs w:val="24"/>
        </w:rPr>
        <w:t xml:space="preserve">., 2019; Ben Hamida </w:t>
      </w:r>
      <w:r w:rsidR="00EF37B0" w:rsidRPr="007353B3">
        <w:rPr>
          <w:b/>
          <w:bCs/>
          <w:i/>
          <w:iCs/>
          <w:noProof/>
          <w:sz w:val="24"/>
          <w:szCs w:val="24"/>
        </w:rPr>
        <w:t>et al</w:t>
      </w:r>
      <w:r w:rsidR="00EF37B0" w:rsidRPr="00EF37B0">
        <w:rPr>
          <w:b/>
          <w:bCs/>
          <w:noProof/>
          <w:sz w:val="24"/>
          <w:szCs w:val="24"/>
        </w:rPr>
        <w:t xml:space="preserve">., 2016; Elgawish </w:t>
      </w:r>
      <w:r w:rsidR="00EF37B0" w:rsidRPr="007353B3">
        <w:rPr>
          <w:b/>
          <w:bCs/>
          <w:i/>
          <w:iCs/>
          <w:noProof/>
          <w:sz w:val="24"/>
          <w:szCs w:val="24"/>
        </w:rPr>
        <w:t>et al.</w:t>
      </w:r>
      <w:r w:rsidR="00EF37B0" w:rsidRPr="00EF37B0">
        <w:rPr>
          <w:b/>
          <w:bCs/>
          <w:noProof/>
          <w:sz w:val="24"/>
          <w:szCs w:val="24"/>
        </w:rPr>
        <w:t xml:space="preserve">, 2019; Soudani </w:t>
      </w:r>
      <w:r w:rsidR="00EF37B0" w:rsidRPr="007353B3">
        <w:rPr>
          <w:b/>
          <w:bCs/>
          <w:i/>
          <w:iCs/>
          <w:noProof/>
          <w:sz w:val="24"/>
          <w:szCs w:val="24"/>
        </w:rPr>
        <w:t>et al</w:t>
      </w:r>
      <w:r w:rsidR="00EF37B0" w:rsidRPr="00EF37B0">
        <w:rPr>
          <w:b/>
          <w:bCs/>
          <w:noProof/>
          <w:sz w:val="24"/>
          <w:szCs w:val="24"/>
        </w:rPr>
        <w:t>., 2011)</w:t>
      </w:r>
      <w:r w:rsidR="00EF37B0" w:rsidRPr="00EF37B0">
        <w:rPr>
          <w:b/>
          <w:bCs/>
          <w:sz w:val="24"/>
          <w:szCs w:val="24"/>
        </w:rPr>
        <w:fldChar w:fldCharType="end"/>
      </w:r>
      <w:bookmarkEnd w:id="8"/>
      <w:r w:rsidR="00EF37B0" w:rsidRPr="00EF37B0">
        <w:rPr>
          <w:b/>
          <w:bCs/>
          <w:sz w:val="24"/>
          <w:szCs w:val="24"/>
        </w:rPr>
        <w:t>.</w:t>
      </w:r>
    </w:p>
    <w:p w14:paraId="2C4627D5" w14:textId="66A40427" w:rsidR="00596444" w:rsidRDefault="00EF37B0" w:rsidP="00FA6001">
      <w:pPr>
        <w:pStyle w:val="Normal14pt"/>
        <w:spacing w:line="360" w:lineRule="auto"/>
        <w:ind w:left="-450" w:firstLine="0"/>
        <w:jc w:val="both"/>
      </w:pPr>
      <w:r w:rsidRPr="00EF37B0">
        <w:rPr>
          <w:rFonts w:asciiTheme="minorHAnsi" w:hAnsiTheme="minorHAnsi"/>
          <w:sz w:val="24"/>
          <w:szCs w:val="24"/>
        </w:rPr>
        <w:t xml:space="preserve">A strong body of evidence suggests that oxidative stress mechanisms are other mechanisms involved in both FPN and K2Cr2O7 induced toxicities </w:t>
      </w:r>
      <w:r w:rsidRPr="00EF37B0">
        <w:rPr>
          <w:rFonts w:asciiTheme="minorHAnsi" w:hAnsiTheme="minorHAnsi"/>
          <w:b/>
          <w:bCs/>
          <w:i/>
          <w:iCs/>
          <w:sz w:val="24"/>
          <w:szCs w:val="24"/>
        </w:rPr>
        <w:fldChar w:fldCharType="begin" w:fldLock="1"/>
      </w:r>
      <w:r w:rsidR="007353B3">
        <w:rPr>
          <w:rFonts w:asciiTheme="minorHAnsi" w:hAnsiTheme="minorHAnsi"/>
          <w:b/>
          <w:bCs/>
          <w:i/>
          <w:iCs/>
          <w:sz w:val="24"/>
          <w:szCs w:val="24"/>
        </w:rPr>
        <w:instrText>ADDIN CSL_CITATION {"citationItems":[{"id":"ITEM-1","itemData":{"DOI":"10.1016/j.fct.2018.01.055","ISSN":"0278-6915","author":[{"dropping-particle":"","family":"Abdel-daim","given":"Mohamed M","non-dropping-particle":"","parse-names":false,"suffix":""},{"dropping-particle":"","family":"Abdeen","given":"Ahmed","non-dropping-particle":"","parse-names":false,"suffix":""}],"container-title":"Food and Chemical Toxicology","id":"ITEM-1","issue":"February","issued":{"date-parts":[["2018"]]},"page":"69-77","publisher":"Elsevier","title":"Protective e ff ects of rosuvastatin and vitamin E against fi pronil-mediated oxidative damage and apoptosis in rat liver and kidney","type":"article-journal","volume":"114"},"uris":["http://www.mendeley.com/documents/?uuid=3eb05690-3aac-47ba-b461-a8775ae100eb"]},{"id":"ITEM-2","itemData":{"author":[{"dropping-particle":"","family":"Albasher","given":"Gadah","non-dropping-particle":"","parse-names":false,"suffix":""},{"dropping-particle":"","family":"Abdel-daim","given":"Mohamed M","non-dropping-particle":"","parse-names":false,"suffix":""}],"id":"ITEM-2","issued":{"date-parts":[["2019"]]},"publisher":"Environmental Science and Pollution Research","title":"Synergistic antioxidant effects of resveratrol and curcumin against fipronil-triggered oxidative damage in male albino rats","type":"article-journal"},"uris":["http://www.mendeley.com/documents/?uuid=47bf26d4-aa2c-4b37-8049-8b481fb02251"]},{"id":"ITEM-3","itemData":{"DOI":"10.1016/j.scitotenv.2018.09.313","ISSN":"0048-9697","author":[{"dropping-particle":"","family":"Abdel-daim","given":"Mohamed M","non-dropping-particle":"","parse-names":false,"suffix":""},{"dropping-particle":"","family":"Dessouki","given":"Amina A","non-dropping-particle":"","parse-names":false,"suffix":""},{"dropping-particle":"","family":"Abdel-rahman","given":"Haidy G","non-dropping-particle":"","parse-names":false,"suffix":""},{"dropping-particle":"","family":"Eltaysh","given":"Rasha","non-dropping-particle":"","parse-names":false,"suffix":""},{"dropping-particle":"","family":"Alkahtani","given":"Saad","non-dropping-particle":"","parse-names":false,"suffix":""}],"container-title":"Science of the Total Environment","id":"ITEM-3","issued":{"date-parts":[["2019"]]},"page":"2063-2073","publisher":"Elsevier B.V.","title":"Science of the Total Environment Hepatorenal protective effects of taurine and N -acetylcysteine against fi pronil-induced injuries : The antioxidant status and apoptotic markers expression in rats","type":"article-journal","volume":"650"},"uris":["http://www.mendeley.com/documents/?uuid=c2b52918-e796-4080-8cd2-383771b49408"]},{"id":"ITEM-4","itemData":{"DOI":"10.1007/s13105-012-0152-4","author":[{"dropping-particle":"","family":"Soudani","given":"Nejla","non-dropping-particle":"","parse-names":false,"suffix":""},{"dropping-particle":"","family":"Troudi","given":"Afef","non-dropping-particle":"","parse-names":false,"suffix":""}],"id":"ITEM-4","issued":{"date-parts":[["2012"]]},"page":"397-409","title":"Ameliorating effect of selenium on chromium ( VI ) -induced oxidative damage in the brain of adult rats","type":"article-journal"},"uris":["http://www.mendeley.com/documents/?uuid=9a93b61f-f0cc-482e-bf0c-75ba4d22d9ae"]},{"id":"ITEM-5","itemData":{"DOI":"10.1007/s12011-018-1571-z","ISSN":"15590720","abstract":"Hexavalent chromium[Cr(VI)] compounds may induce toxic effects, possibly via reactive intermediates and radicals formed during Cr(VI) reduction. In this study, we probed the possible effects of N-acetyl-L-cysteine (NAC) and taurine pre- or post-treatments on Cr(VI)-induced changes in lipid peroxidation and nonprotein thiols (NPSH) in mice heart, lung, spleen, and testis tissues. The mice were randomly assigned to six groups, consisting of control, Cr(VI)-exposed (20 mg Cr/kg, intraperitoneal ,ip), NAC (200 mg/kg, ip) as pre-treatment and post-treatment, and taurine (1 g/kg, ip) pre-treatment and post-treatment groups. Lipid peroxidation and NPSH levels were determined and the results were compared with regard to tissue- and antioxidant-specific basis. Exposure to Cr(VI) significantly increased lipid peroxidation in all tissues as compared to the control (p &lt; 0.05); and consistent with this data, NPSH levels were significantly decreased (p &lt; 0.05). Notably, administration of NAC and taurine, either before or after Cr(VI) exposure, was able to ameliorate the lipid peroxidation (p &lt; 0.05) in all tissues. In the case of NPSH content, while the decline could be alleviated by both NAC and taurine pre- and post-treatments in the spleen, diverging results were obtained in other tissues. The effects of Cr(VI) on the lung thiols were abolished by pre-treatment with NAC and taurine; however, post-treatments could not exert significant effect. While thiol depletion in the heart was totally replenished by NAC and taurine administrations, NAC pre-treatment was partially more effective than post-treatment. In contrast with lipid peroxidation data, NAC treatment could not provide a statistically significant beneficial effect on NPSH content of the testis, whereas the effect in this tissue by taurine was profound. Thus, these data highlight the importance of tissue-specific factors and the critical role of administration time. Overall, our data suggest that NAC and taurine may have potential in prevention of Cr(VI)-induced toxicity in the heart, lung, spleen, and testis tissues.","author":[{"dropping-particle":"","family":"Boşgelmez","given":"I. İpek","non-dropping-particle":"","parse-names":false,"suffix":""},{"dropping-particle":"","family":"Güvendik","given":"Gülin","non-dropping-particle":"","parse-names":false,"suffix":""}],"container-title":"Biological Trace Element Research","id":"ITEM-5","issue":"2","issued":{"date-parts":[["2019"]]},"page":"437-445","title":"Beneficial Effects of N-Acetyl-L-cysteine or Taurine Pre- or Post-treatments in the Heart, Spleen, Lung, and Testis of Hexavalent Chromium-Exposed Mice","type":"article-journal","volume":"190"},"uris":["http://www.mendeley.com/documents/?uuid=4de7f31e-d58d-4302-9070-b1755b39c1a0"]},{"id":"ITEM-6","itemData":{"DOI":"10.17582/journal.pjz/2019.51.5.1905.1910","ISSN":"00309923","author":[{"dropping-particle":"","family":"Sarıca","given":"Zeynep Soyer","non-dropping-particle":"","parse-names":false,"suffix":""},{"dropping-particle":"","family":"Eren","given":"Meryem","non-dropping-particle":"","parse-names":false,"suffix":""},{"dropping-particle":"","family":"Senturk","given":"Meryem","non-dropping-particle":"","parse-names":false,"suffix":""}],"container-title":"Pakistan Journal of Zoology","id":"ITEM-6","issue":"5","issued":{"date-parts":[["2019"]]},"page":"1905-1910","title":"Effect of Boron on the Potassium Dichromate Induced Oxidative Damage in Brain Tissue of Sprague Dawley Rats","type":"article-journal","volume":"51"},"uris":["http://www.mendeley.com/documents/?uuid=c0041a1c-acf1-4e13-945a-bfd020814601"]}],"mendeley":{"formattedCitation":"(Abdel-daim &amp; Abdeen, 2018; Abdel-daim, Dessouki, Abdel-rahman, Eltaysh, &amp; Alkahtani, 2019; Albasher &amp; Abdel-daim, 2019; Boşgelmez &amp; Güvendik, 2019; Sarıca, Eren, &amp; Senturk, 2019; Soudani &amp; Troudi, 2012)","manualFormatting":"(Soudani et al., 2012; Abdel-daim et al., 2018; Abdel-daim et al. 2019; Albasher et al., 2019; Boşgelmez et al.,2019; Sarıca et al. 2019)","plainTextFormattedCitation":"(Abdel-daim &amp; Abdeen, 2018; Abdel-daim, Dessouki, Abdel-rahman, Eltaysh, &amp; Alkahtani, 2019; Albasher &amp; Abdel-daim, 2019; Boşgelmez &amp; Güvendik, 2019; Sarıca, Eren, &amp; Senturk, 2019; Soudani &amp; Troudi, 2012)","previouslyFormattedCitation":"(Abdel-daim &amp; Abdeen, 2018; Abdel-daim, Dessouki, Abdel-rahman, Eltaysh, &amp; Alkahtani, 2019; Albasher &amp; Abdel-daim, 2019; Boşgelmez &amp; Güvendik, 2019; Sarıca, Eren, &amp; Senturk, 2019; Soudani &amp; Troudi, 2012)"},"properties":{"noteIndex":0},"schema":"https://github.com/citation-style-language/schema/raw/master/csl-citation.json"}</w:instrText>
      </w:r>
      <w:r w:rsidRPr="00EF37B0">
        <w:rPr>
          <w:rFonts w:asciiTheme="minorHAnsi" w:hAnsiTheme="minorHAnsi"/>
          <w:b/>
          <w:bCs/>
          <w:i/>
          <w:iCs/>
          <w:sz w:val="24"/>
          <w:szCs w:val="24"/>
        </w:rPr>
        <w:fldChar w:fldCharType="separate"/>
      </w:r>
      <w:r w:rsidRPr="00EF37B0">
        <w:rPr>
          <w:rFonts w:asciiTheme="minorHAnsi" w:hAnsiTheme="minorHAnsi"/>
          <w:b/>
          <w:bCs/>
          <w:i/>
          <w:iCs/>
          <w:noProof/>
          <w:sz w:val="24"/>
          <w:szCs w:val="24"/>
        </w:rPr>
        <w:t>(</w:t>
      </w:r>
      <w:r w:rsidRPr="00EF37B0">
        <w:rPr>
          <w:rFonts w:asciiTheme="minorHAnsi" w:hAnsiTheme="minorHAnsi"/>
          <w:b/>
          <w:bCs/>
          <w:noProof/>
          <w:sz w:val="24"/>
          <w:szCs w:val="24"/>
        </w:rPr>
        <w:t xml:space="preserve">Soudani </w:t>
      </w:r>
      <w:r w:rsidR="007353B3" w:rsidRPr="007353B3">
        <w:rPr>
          <w:rFonts w:asciiTheme="minorHAnsi" w:hAnsiTheme="minorHAnsi"/>
          <w:b/>
          <w:bCs/>
          <w:i/>
          <w:iCs/>
          <w:noProof/>
          <w:sz w:val="24"/>
          <w:szCs w:val="24"/>
        </w:rPr>
        <w:t>et al</w:t>
      </w:r>
      <w:r w:rsidR="007353B3">
        <w:rPr>
          <w:rFonts w:asciiTheme="minorHAnsi" w:hAnsiTheme="minorHAnsi"/>
          <w:b/>
          <w:bCs/>
          <w:noProof/>
          <w:sz w:val="24"/>
          <w:szCs w:val="24"/>
        </w:rPr>
        <w:t>.,</w:t>
      </w:r>
      <w:r w:rsidRPr="00EF37B0">
        <w:rPr>
          <w:rFonts w:asciiTheme="minorHAnsi" w:hAnsiTheme="minorHAnsi"/>
          <w:b/>
          <w:bCs/>
          <w:noProof/>
          <w:sz w:val="24"/>
          <w:szCs w:val="24"/>
        </w:rPr>
        <w:t xml:space="preserve"> 2012</w:t>
      </w:r>
      <w:r w:rsidRPr="00EF37B0">
        <w:rPr>
          <w:rFonts w:asciiTheme="minorHAnsi" w:hAnsiTheme="minorHAnsi"/>
          <w:b/>
          <w:bCs/>
          <w:i/>
          <w:iCs/>
          <w:noProof/>
          <w:sz w:val="24"/>
          <w:szCs w:val="24"/>
        </w:rPr>
        <w:t xml:space="preserve">; </w:t>
      </w:r>
      <w:r w:rsidRPr="00EF37B0">
        <w:rPr>
          <w:rFonts w:asciiTheme="minorHAnsi" w:hAnsiTheme="minorHAnsi"/>
          <w:b/>
          <w:bCs/>
          <w:noProof/>
          <w:sz w:val="24"/>
          <w:szCs w:val="24"/>
        </w:rPr>
        <w:t>Abdel-daim</w:t>
      </w:r>
      <w:r w:rsidRPr="00EF37B0">
        <w:rPr>
          <w:rFonts w:asciiTheme="minorHAnsi" w:hAnsiTheme="minorHAnsi"/>
          <w:b/>
          <w:bCs/>
          <w:i/>
          <w:iCs/>
          <w:noProof/>
          <w:sz w:val="24"/>
          <w:szCs w:val="24"/>
        </w:rPr>
        <w:t xml:space="preserve"> et al., </w:t>
      </w:r>
      <w:r w:rsidRPr="00EF37B0">
        <w:rPr>
          <w:rFonts w:asciiTheme="minorHAnsi" w:hAnsiTheme="minorHAnsi"/>
          <w:b/>
          <w:bCs/>
          <w:noProof/>
          <w:sz w:val="24"/>
          <w:szCs w:val="24"/>
        </w:rPr>
        <w:t>2018; Abdel-daim</w:t>
      </w:r>
      <w:r w:rsidRPr="00EF37B0">
        <w:rPr>
          <w:rFonts w:asciiTheme="minorHAnsi" w:hAnsiTheme="minorHAnsi"/>
          <w:b/>
          <w:bCs/>
          <w:i/>
          <w:iCs/>
          <w:noProof/>
          <w:sz w:val="24"/>
          <w:szCs w:val="24"/>
        </w:rPr>
        <w:t xml:space="preserve"> et al. </w:t>
      </w:r>
      <w:r w:rsidRPr="00EF37B0">
        <w:rPr>
          <w:rFonts w:asciiTheme="minorHAnsi" w:hAnsiTheme="minorHAnsi"/>
          <w:b/>
          <w:bCs/>
          <w:noProof/>
          <w:sz w:val="24"/>
          <w:szCs w:val="24"/>
        </w:rPr>
        <w:t>2019; Albasher</w:t>
      </w:r>
      <w:r w:rsidRPr="00EF37B0">
        <w:rPr>
          <w:rFonts w:asciiTheme="minorHAnsi" w:hAnsiTheme="minorHAnsi"/>
          <w:b/>
          <w:bCs/>
          <w:i/>
          <w:iCs/>
          <w:noProof/>
          <w:sz w:val="24"/>
          <w:szCs w:val="24"/>
        </w:rPr>
        <w:t xml:space="preserve"> et al., </w:t>
      </w:r>
      <w:r w:rsidRPr="00EF37B0">
        <w:rPr>
          <w:rFonts w:asciiTheme="minorHAnsi" w:hAnsiTheme="minorHAnsi"/>
          <w:b/>
          <w:bCs/>
          <w:noProof/>
          <w:sz w:val="24"/>
          <w:szCs w:val="24"/>
        </w:rPr>
        <w:t xml:space="preserve">2019; Boşgelmez </w:t>
      </w:r>
      <w:r w:rsidRPr="00EF37B0">
        <w:rPr>
          <w:rFonts w:asciiTheme="minorHAnsi" w:hAnsiTheme="minorHAnsi"/>
          <w:b/>
          <w:bCs/>
          <w:i/>
          <w:iCs/>
          <w:noProof/>
          <w:sz w:val="24"/>
          <w:szCs w:val="24"/>
        </w:rPr>
        <w:t>et al.,</w:t>
      </w:r>
      <w:r w:rsidRPr="00EF37B0">
        <w:rPr>
          <w:rFonts w:asciiTheme="minorHAnsi" w:hAnsiTheme="minorHAnsi"/>
          <w:b/>
          <w:bCs/>
          <w:noProof/>
          <w:sz w:val="24"/>
          <w:szCs w:val="24"/>
        </w:rPr>
        <w:t>2019; Sarıca</w:t>
      </w:r>
      <w:r w:rsidRPr="00EF37B0">
        <w:rPr>
          <w:rFonts w:asciiTheme="minorHAnsi" w:hAnsiTheme="minorHAnsi"/>
          <w:b/>
          <w:bCs/>
          <w:i/>
          <w:iCs/>
          <w:noProof/>
          <w:sz w:val="24"/>
          <w:szCs w:val="24"/>
        </w:rPr>
        <w:t xml:space="preserve"> et al. </w:t>
      </w:r>
      <w:r w:rsidRPr="00EF37B0">
        <w:rPr>
          <w:rFonts w:asciiTheme="minorHAnsi" w:hAnsiTheme="minorHAnsi"/>
          <w:b/>
          <w:bCs/>
          <w:noProof/>
          <w:sz w:val="24"/>
          <w:szCs w:val="24"/>
        </w:rPr>
        <w:t>2019</w:t>
      </w:r>
      <w:r w:rsidRPr="00EF37B0">
        <w:rPr>
          <w:rFonts w:asciiTheme="minorHAnsi" w:hAnsiTheme="minorHAnsi"/>
          <w:b/>
          <w:bCs/>
          <w:i/>
          <w:iCs/>
          <w:noProof/>
          <w:sz w:val="24"/>
          <w:szCs w:val="24"/>
        </w:rPr>
        <w:t>)</w:t>
      </w:r>
      <w:r w:rsidRPr="00EF37B0">
        <w:rPr>
          <w:rFonts w:asciiTheme="minorHAnsi" w:hAnsiTheme="minorHAnsi"/>
          <w:b/>
          <w:bCs/>
          <w:i/>
          <w:iCs/>
          <w:sz w:val="24"/>
          <w:szCs w:val="24"/>
        </w:rPr>
        <w:fldChar w:fldCharType="end"/>
      </w:r>
      <w:r>
        <w:rPr>
          <w:rFonts w:asciiTheme="minorHAnsi" w:hAnsiTheme="minorHAnsi" w:hint="cs"/>
          <w:b/>
          <w:bCs/>
          <w:i/>
          <w:iCs/>
          <w:rtl/>
        </w:rPr>
        <w:t>.</w:t>
      </w:r>
      <w:r w:rsidR="00A53CCE" w:rsidRPr="00A53CCE">
        <w:t xml:space="preserve"> </w:t>
      </w:r>
      <w:r w:rsidR="00A53CCE" w:rsidRPr="00A53CCE">
        <w:rPr>
          <w:rFonts w:asciiTheme="minorHAnsi" w:hAnsiTheme="minorHAnsi"/>
          <w:sz w:val="24"/>
          <w:szCs w:val="24"/>
        </w:rPr>
        <w:t xml:space="preserve">The major manifestations of oxidative distress in the biological system are LPO, protein oxidation, mitochondrial damage, decreased ATP production and DNA damage. Oxidative stress is initiated due to imbalance between oxidants (ROS) and cellular antioxidant components (enzymatic and non-enzymatic). </w:t>
      </w:r>
    </w:p>
    <w:p w14:paraId="67D2646F" w14:textId="08490C9C" w:rsidR="00BF478B" w:rsidRDefault="00A53CCE" w:rsidP="00FA6001">
      <w:pPr>
        <w:pStyle w:val="Normal14pt"/>
        <w:spacing w:line="360" w:lineRule="auto"/>
        <w:ind w:left="-450" w:firstLine="0"/>
        <w:jc w:val="both"/>
      </w:pPr>
      <w:r w:rsidRPr="00A53CCE">
        <w:rPr>
          <w:rFonts w:asciiTheme="minorHAnsi" w:hAnsiTheme="minorHAnsi"/>
          <w:sz w:val="24"/>
          <w:szCs w:val="24"/>
        </w:rPr>
        <w:t>There is a variety of ROS such as OH</w:t>
      </w:r>
      <w:r w:rsidRPr="00A53CCE">
        <w:rPr>
          <w:rFonts w:asciiTheme="minorHAnsi" w:hAnsiTheme="minorHAnsi"/>
          <w:sz w:val="24"/>
          <w:szCs w:val="24"/>
          <w:vertAlign w:val="superscript"/>
        </w:rPr>
        <w:t>•</w:t>
      </w:r>
      <w:r w:rsidRPr="00A53CCE">
        <w:rPr>
          <w:rFonts w:asciiTheme="minorHAnsi" w:hAnsiTheme="minorHAnsi"/>
          <w:sz w:val="24"/>
          <w:szCs w:val="24"/>
        </w:rPr>
        <w:t>, O</w:t>
      </w:r>
      <w:r w:rsidRPr="00A53CCE">
        <w:rPr>
          <w:rFonts w:asciiTheme="minorHAnsi" w:hAnsiTheme="minorHAnsi"/>
          <w:sz w:val="24"/>
          <w:szCs w:val="24"/>
          <w:vertAlign w:val="superscript"/>
        </w:rPr>
        <w:t>•</w:t>
      </w:r>
      <w:r w:rsidRPr="00A53CCE">
        <w:rPr>
          <w:sz w:val="24"/>
          <w:szCs w:val="24"/>
        </w:rPr>
        <w:t>‾</w:t>
      </w:r>
      <w:r w:rsidRPr="00A53CCE">
        <w:rPr>
          <w:rFonts w:asciiTheme="minorHAnsi" w:hAnsiTheme="minorHAnsi"/>
          <w:sz w:val="24"/>
          <w:szCs w:val="24"/>
        </w:rPr>
        <w:t>, H</w:t>
      </w:r>
      <w:r w:rsidRPr="00A53CCE">
        <w:rPr>
          <w:rFonts w:asciiTheme="minorHAnsi" w:hAnsiTheme="minorHAnsi"/>
          <w:sz w:val="24"/>
          <w:szCs w:val="24"/>
          <w:vertAlign w:val="subscript"/>
        </w:rPr>
        <w:t>2</w:t>
      </w:r>
      <w:r w:rsidRPr="00A53CCE">
        <w:rPr>
          <w:rFonts w:asciiTheme="minorHAnsi" w:hAnsiTheme="minorHAnsi"/>
          <w:sz w:val="24"/>
          <w:szCs w:val="24"/>
        </w:rPr>
        <w:t>O</w:t>
      </w:r>
      <w:r w:rsidRPr="00A53CCE">
        <w:rPr>
          <w:rFonts w:asciiTheme="minorHAnsi" w:hAnsiTheme="minorHAnsi"/>
          <w:sz w:val="24"/>
          <w:szCs w:val="24"/>
          <w:vertAlign w:val="subscript"/>
        </w:rPr>
        <w:t>2</w:t>
      </w:r>
      <w:r w:rsidRPr="00A53CCE">
        <w:rPr>
          <w:rFonts w:asciiTheme="minorHAnsi" w:hAnsiTheme="minorHAnsi"/>
          <w:sz w:val="24"/>
          <w:szCs w:val="24"/>
        </w:rPr>
        <w:t>, NO, NOO</w:t>
      </w:r>
      <w:r w:rsidRPr="00A53CCE">
        <w:rPr>
          <w:sz w:val="24"/>
          <w:szCs w:val="24"/>
        </w:rPr>
        <w:t>‾</w:t>
      </w:r>
      <w:r w:rsidRPr="00A53CCE">
        <w:rPr>
          <w:rFonts w:asciiTheme="minorHAnsi" w:hAnsiTheme="minorHAnsi"/>
          <w:sz w:val="24"/>
          <w:szCs w:val="24"/>
        </w:rPr>
        <w:t>, and others</w:t>
      </w:r>
      <w:r w:rsidRPr="00A53CCE">
        <w:rPr>
          <w:sz w:val="24"/>
          <w:szCs w:val="24"/>
        </w:rPr>
        <w:t xml:space="preserve"> </w:t>
      </w:r>
      <w:r w:rsidRPr="00A53CCE">
        <w:rPr>
          <w:rFonts w:asciiTheme="minorHAnsi" w:hAnsiTheme="minorHAnsi"/>
          <w:sz w:val="24"/>
          <w:szCs w:val="24"/>
        </w:rPr>
        <w:t>are produced during oxidative stress. Since, OH</w:t>
      </w:r>
      <w:r w:rsidRPr="00A53CCE">
        <w:rPr>
          <w:rFonts w:asciiTheme="minorHAnsi" w:hAnsiTheme="minorHAnsi"/>
          <w:sz w:val="24"/>
          <w:szCs w:val="24"/>
          <w:vertAlign w:val="superscript"/>
        </w:rPr>
        <w:t>•</w:t>
      </w:r>
      <w:r w:rsidRPr="00A53CCE">
        <w:rPr>
          <w:rFonts w:asciiTheme="minorHAnsi" w:hAnsiTheme="minorHAnsi"/>
          <w:sz w:val="24"/>
          <w:szCs w:val="24"/>
        </w:rPr>
        <w:t xml:space="preserve"> is the most harmful and abundant radical </w:t>
      </w:r>
      <w:r w:rsidRPr="00596444">
        <w:rPr>
          <w:rFonts w:asciiTheme="minorHAnsi" w:hAnsiTheme="minorHAnsi"/>
          <w:b/>
          <w:bCs/>
          <w:i/>
          <w:iCs/>
          <w:sz w:val="24"/>
          <w:szCs w:val="24"/>
        </w:rPr>
        <w:fldChar w:fldCharType="begin" w:fldLock="1"/>
      </w:r>
      <w:r w:rsidR="004B6D25">
        <w:rPr>
          <w:rFonts w:asciiTheme="minorHAnsi" w:hAnsiTheme="minorHAnsi"/>
          <w:b/>
          <w:bCs/>
          <w:i/>
          <w:iCs/>
          <w:sz w:val="24"/>
          <w:szCs w:val="24"/>
        </w:rPr>
        <w:instrText>ADDIN CSL_CITATION {"citationItems":[{"id":"ITEM-1","itemData":{"DOI":"org/10.1146/annurev-biochem- 061516-045037","ISBN":"15216934","ISSN":"15216934","PMID":"21130690","abstract":"Oxidative stress is two sided: Whereas excessive oxidant challenge causes damage to biomolecules, maintenance of a physiological level of oxidant challenge, termed oxidative eustress, is essential for governing life processes through redox signaling. Recent interest has focused on the intricate ways by which redox signaling integrates these converse properties. Redox balance is maintained by prevention, interception, and repair, and concomitantly the regulatory potential of molecular thiol-driven master switches such as Nrf2/Keap1 or NF-κB/IκB is used for system-wide oxidative stress response. Nonradical species such as hydrogen peroxide (H2O2) or singlet molec- ular oxygen, rather than free-radical species, perform major second mes- senger functions. Chemokine-controlled NADPH oxidases and metaboli- cally controlled mitochondrial sources ofH2O2 as well as glutathione- and thioredoxin-related pathways, with powerful enzymatic back-up systems, are responsible for fine-tuning physiological redox signaling. This makes for a rich research field spanning from biochemistry and cell biology into nutri- tional sciences, environmental medicine, and molecular knowledge-based redox medicine.","author":[{"dropping-particle":"","family":"Sies","given":"Helmut","non-dropping-particle":"","parse-names":false,"suffix":""},{"dropping-particle":"","family":"Berndt","given":"Carsten","non-dropping-particle":"","parse-names":false,"suffix":""},{"dropping-particle":"","family":"Jones","given":"","non-dropping-particle":"","parse-names":false,"suffix":""},{"dropping-particle":"","family":"P.","given":"Dean","non-dropping-particle":"","parse-names":false,"suffix":""}],"container-title":"The Annual Review of Biochemistry","id":"ITEM-1","issued":{"date-parts":[["2017"]]},"page":"715-748","title":"Oxidative stress","type":"article-journal","volume":"86"},"uris":["http://www.mendeley.com/documents/?uuid=ee554850-4288-47b5-9a44-deba2f6569fc"]},{"id":"ITEM-2","itemData":{"DOI":"10.1016/j.ejphar.2014.07.025","ISBN":"0014-2999","ISSN":"18790712","PMID":"25058905","abstract":"Cisplatin, cisplatinum, or cis-diamminedichloroplatinum (II), is a well-known chemotherapeutic drug. It has been used for treatment of numerous human cancers including bladder, head and neck, lung, ovarian, and testicular cancers. It is effective against various types of cancers, including carcinomas, germ cell tumors, lymphomas, and sarcomas. Its mode of action has been linked to its ability to crosslink with the purine bases on the DNA; interfering with DNA repair mechanisms, causing DNA damage, and subsequently inducing apoptosis in cancer cells. However, because of drug resistance and numerous undesirable side effects such as severe kidney problems, allergic reactions, decrease immunity to infections, gastrointestinal disorders, hemorrhage, and hearing loss especially in younger patients, other platinum-containing anti-cancer drugs such as carboplatin, oxaliplatin and others, have also been used. Furthermore, combination therapies of cisplatin with other drugs have been highly considered to overcome drug-resistance and reduce toxicity. This comprehensive review highlights the physicochemical properties of cisplatin and related platinum-based drugs, and discusses its uses (either alone or in combination with other drugs) for the treatment of various human cancers. A special attention is paid to its molecular mechanisms of action, and its undesirable side effects.","author":[{"dropping-particle":"","family":"Dasari","given":"Shaloam","non-dropping-particle":"","parse-names":false,"suffix":""},{"dropping-particle":"","family":"Bernard Tchounwou","given":"Paul","non-dropping-particle":"","parse-names":false,"suffix":""}],"container-title":"European Journal of Pharmacology","id":"ITEM-2","issued":{"date-parts":[["2014"]]},"title":"Cisplatin in cancer therapy: Molecular mechanisms of action","type":"article","volume":"740"},"uris":["http://www.mendeley.com/documents/?uuid=afab50a3-fcdd-486d-9f3c-c5bbcb5d1bb1"]},{"id":"ITEM-3","itemData":{"DOI":"10.1007/s00204-014-1239-1","ISSN":"14320738","PMID":"24859930","abstract":"Nephrotoxicity is a major side effect of cisplatin in chemotherapy. Pathologically, cisplatin nephrotoxicity is characterized by cell injury and death in renal tubules. The research in the past decade has gained significant understanding of the cellular and molecular mechanisms of tubular cell death, revealing a central role of mitochondrial dysregulation. The pathological changes in mitochondria in cisplatin nephrotoxicity are mainly triggered by DNA damage response, pro-apoptotic protein attack, disruption of mitochondrial dynamics, and oxidative stress. As such, inhibitory strategies targeting these cytotoxic events may provide renal protection. Nonetheless, ideal approaches for renoprotection should not only protect kidneys but also enhance the anticancer efficacy of cisplatin in chemotherapy.","author":[{"dropping-particle":"","family":"Yang","given":"Yuan","non-dropping-particle":"","parse-names":false,"suffix":""},{"dropping-particle":"","family":"Liu","given":"Hong","non-dropping-particle":"","parse-names":false,"suffix":""},{"dropping-particle":"","family":"Liu","given":"Fuyou","non-dropping-particle":"","parse-names":false,"suffix":""},{"dropping-particle":"","family":"Dong","given":"Zheng","non-dropping-particle":"","parse-names":false,"suffix":""}],"container-title":"Archives of Toxicology","id":"ITEM-3","issue":"6","issued":{"date-parts":[["2014"]]},"title":"Mitochondrial dysregulation and protection in cisplatin nephrotoxicity","type":"article","volume":"88"},"uris":["http://www.mendeley.com/documents/?uuid=07d8332c-0837-4543-be0e-a790158b92d0"]},{"id":"ITEM-4","itemData":{"DOI":"10.1042/BJ20101695","ISBN":"1470-8728 (Electronic)\\n0264-6021 (Linking)","ISSN":"02646021","PMID":"21309749","abstract":"Aerobic life requires organisms to resist the damaging effects of ROS (reactive oxygen species), particularly during stress. Extensive research has established a detailed picture of how cells respond to oxidative stress. Attention is now focusing on identifying the key molecular targets of ROS, which cause killing when resistance is overwhelmed. Experimental criteria used to establish such targets have differing merits. Depending on the nature of the stress, ROS cause loss of essential cellular functions or gain of toxic functions. Essential targets on which life pivots during ROS stress include membrane lipid integrity and activity of ROS-susceptible proteins, including proteins required for faithful translation of mRNA. Protein oxidation also triggers accumulation of toxic protein aggregates or induction of apoptotic cell death. This burgeoning understanding of the principal ROS targets will offer new possibilities for therapy of ROS related diseases. © The Authors Journal compilation © 2011 Biochemical Society.","author":[{"dropping-particle":"V.","family":"Avery","given":"Simon V.","non-dropping-particle":"","parse-names":false,"suffix":""}],"container-title":"Biochemical Journal","id":"ITEM-4","issue":"2","issued":{"date-parts":[["2011"]]},"page":"201-210","title":"Molecular targets of oxidative stress","type":"article-journal","volume":"434"},"uris":["http://www.mendeley.com/documents/?uuid=2501fd41-0a0b-4e40-911f-33c3d0dc5d01"]}],"mendeley":{"formattedCitation":"(Avery, 2011; Dasari &amp; Bernard Tchounwou, 2014; Sies, Berndt, Jones, &amp; P., 2017; Yang, Liu, Liu, &amp; Dong, 2014)","manualFormatting":"(Avery, 2011; Dasari  et al., 2014; Sies et al., 2017; Yang, Liu et al., 2014)","plainTextFormattedCitation":"(Avery, 2011; Dasari &amp; Bernard Tchounwou, 2014; Sies, Berndt, Jones, &amp; P., 2017; Yang, Liu, Liu, &amp; Dong, 2014)","previouslyFormattedCitation":"(Avery, 2011; Dasari &amp; Bernard Tchounwou, 2014; Sies, Berndt, Jones, &amp; P., 2017; Yang, Liu, Liu, &amp; Dong, 2014)"},"properties":{"noteIndex":0},"schema":"https://github.com/citation-style-language/schema/raw/master/csl-citation.json"}</w:instrText>
      </w:r>
      <w:r w:rsidRPr="00596444">
        <w:rPr>
          <w:rFonts w:asciiTheme="minorHAnsi" w:hAnsiTheme="minorHAnsi"/>
          <w:b/>
          <w:bCs/>
          <w:i/>
          <w:iCs/>
          <w:sz w:val="24"/>
          <w:szCs w:val="24"/>
        </w:rPr>
        <w:fldChar w:fldCharType="separate"/>
      </w:r>
      <w:r w:rsidRPr="00596444">
        <w:rPr>
          <w:rFonts w:asciiTheme="minorHAnsi" w:hAnsiTheme="minorHAnsi"/>
          <w:b/>
          <w:bCs/>
          <w:iCs/>
          <w:noProof/>
          <w:sz w:val="24"/>
          <w:szCs w:val="24"/>
        </w:rPr>
        <w:t xml:space="preserve">(Avery, 2011; Dasari </w:t>
      </w:r>
      <w:r w:rsidR="00596444" w:rsidRPr="00596444">
        <w:rPr>
          <w:rFonts w:asciiTheme="minorHAnsi" w:hAnsiTheme="minorHAnsi"/>
          <w:b/>
          <w:bCs/>
          <w:iCs/>
          <w:noProof/>
          <w:sz w:val="24"/>
          <w:szCs w:val="24"/>
        </w:rPr>
        <w:t xml:space="preserve"> et al.</w:t>
      </w:r>
      <w:r w:rsidRPr="00596444">
        <w:rPr>
          <w:rFonts w:asciiTheme="minorHAnsi" w:hAnsiTheme="minorHAnsi"/>
          <w:b/>
          <w:bCs/>
          <w:iCs/>
          <w:noProof/>
          <w:sz w:val="24"/>
          <w:szCs w:val="24"/>
        </w:rPr>
        <w:t>, 2014; Sies</w:t>
      </w:r>
      <w:r w:rsidR="00596444" w:rsidRPr="00596444">
        <w:rPr>
          <w:rFonts w:asciiTheme="minorHAnsi" w:hAnsiTheme="minorHAnsi"/>
          <w:b/>
          <w:bCs/>
          <w:iCs/>
          <w:noProof/>
          <w:sz w:val="24"/>
          <w:szCs w:val="24"/>
        </w:rPr>
        <w:t xml:space="preserve"> et al., </w:t>
      </w:r>
      <w:r w:rsidRPr="00596444">
        <w:rPr>
          <w:rFonts w:asciiTheme="minorHAnsi" w:hAnsiTheme="minorHAnsi"/>
          <w:b/>
          <w:bCs/>
          <w:iCs/>
          <w:noProof/>
          <w:sz w:val="24"/>
          <w:szCs w:val="24"/>
        </w:rPr>
        <w:t>2017; Yang, Liu</w:t>
      </w:r>
      <w:r w:rsidR="00596444" w:rsidRPr="00596444">
        <w:rPr>
          <w:rFonts w:asciiTheme="minorHAnsi" w:hAnsiTheme="minorHAnsi"/>
          <w:b/>
          <w:bCs/>
          <w:iCs/>
          <w:noProof/>
          <w:sz w:val="24"/>
          <w:szCs w:val="24"/>
        </w:rPr>
        <w:t xml:space="preserve"> et al., </w:t>
      </w:r>
      <w:r w:rsidRPr="00596444">
        <w:rPr>
          <w:rFonts w:asciiTheme="minorHAnsi" w:hAnsiTheme="minorHAnsi"/>
          <w:b/>
          <w:bCs/>
          <w:iCs/>
          <w:noProof/>
          <w:sz w:val="24"/>
          <w:szCs w:val="24"/>
        </w:rPr>
        <w:t>2014)</w:t>
      </w:r>
      <w:r w:rsidRPr="00596444">
        <w:rPr>
          <w:rFonts w:asciiTheme="minorHAnsi" w:hAnsiTheme="minorHAnsi"/>
          <w:b/>
          <w:bCs/>
          <w:i/>
          <w:iCs/>
          <w:sz w:val="24"/>
          <w:szCs w:val="24"/>
        </w:rPr>
        <w:fldChar w:fldCharType="end"/>
      </w:r>
      <w:r w:rsidRPr="00A53CCE">
        <w:rPr>
          <w:rFonts w:asciiTheme="minorHAnsi" w:hAnsiTheme="minorHAnsi"/>
          <w:sz w:val="24"/>
          <w:szCs w:val="24"/>
        </w:rPr>
        <w:t xml:space="preserve">. Additionally, it is the most harmful radical due to high rate of reactivity compared to other ROS </w:t>
      </w:r>
      <w:r w:rsidRPr="00674259">
        <w:rPr>
          <w:rFonts w:asciiTheme="minorHAnsi" w:hAnsiTheme="minorHAnsi"/>
          <w:b/>
          <w:bCs/>
          <w:sz w:val="24"/>
          <w:szCs w:val="24"/>
        </w:rPr>
        <w:fldChar w:fldCharType="begin" w:fldLock="1"/>
      </w:r>
      <w:r w:rsidR="004B6D25">
        <w:rPr>
          <w:rFonts w:asciiTheme="minorHAnsi" w:hAnsiTheme="minorHAnsi"/>
          <w:b/>
          <w:bCs/>
          <w:sz w:val="24"/>
          <w:szCs w:val="24"/>
        </w:rPr>
        <w:instrText>ADDIN CSL_CITATION {"citationItems":[{"id":"ITEM-1","itemData":{"DOI":"org/10.1146/annurev-biochem- 061516-045037","ISBN":"15216934","ISSN":"15216934","PMID":"21130690","abstract":"Oxidative stress is two sided: Whereas excessive oxidant challenge causes damage to biomolecules, maintenance of a physiological level of oxidant challenge, termed oxidative eustress, is essential for governing life processes through redox signaling. Recent interest has focused on the intricate ways by which redox signaling integrates these converse properties. Redox balance is maintained by prevention, interception, and repair, and concomitantly the regulatory potential of molecular thiol-driven master switches such as Nrf2/Keap1 or NF-κB/IκB is used for system-wide oxidative stress response. Nonradical species such as hydrogen peroxide (H2O2) or singlet molec- ular oxygen, rather than free-radical species, perform major second mes- senger functions. Chemokine-controlled NADPH oxidases and metaboli- cally controlled mitochondrial sources ofH2O2 as well as glutathione- and thioredoxin-related pathways, with powerful enzymatic back-up systems, are responsible for fine-tuning physiological redox signaling. This makes for a rich research field spanning from biochemistry and cell biology into nutri- tional sciences, environmental medicine, and molecular knowledge-based redox medicine.","author":[{"dropping-particle":"","family":"Sies","given":"Helmut","non-dropping-particle":"","parse-names":false,"suffix":""},{"dropping-particle":"","family":"Berndt","given":"Carsten","non-dropping-particle":"","parse-names":false,"suffix":""},{"dropping-particle":"","family":"Jones","given":"","non-dropping-particle":"","parse-names":false,"suffix":""},{"dropping-particle":"","family":"P.","given":"Dean","non-dropping-particle":"","parse-names":false,"suffix":""}],"container-title":"The Annual Review of Biochemistry","id":"ITEM-1","issued":{"date-parts":[["2017"]]},"page":"715-748","title":"Oxidative stress","type":"article-journal","volume":"86"},"uris":["http://www.mendeley.com/documents/?uuid=ee554850-4288-47b5-9a44-deba2f6569fc"]}],"mendeley":{"formattedCitation":"(Sies et al., 2017)","plainTextFormattedCitation":"(Sies et al., 2017)","previouslyFormattedCitation":"(Sies et al., 2017)"},"properties":{"noteIndex":0},"schema":"https://github.com/citation-style-language/schema/raw/master/csl-citation.json"}</w:instrText>
      </w:r>
      <w:r w:rsidRPr="00674259">
        <w:rPr>
          <w:rFonts w:asciiTheme="minorHAnsi" w:hAnsiTheme="minorHAnsi"/>
          <w:b/>
          <w:bCs/>
          <w:sz w:val="24"/>
          <w:szCs w:val="24"/>
        </w:rPr>
        <w:fldChar w:fldCharType="separate"/>
      </w:r>
      <w:r w:rsidRPr="00674259">
        <w:rPr>
          <w:rFonts w:asciiTheme="minorHAnsi" w:hAnsiTheme="minorHAnsi"/>
          <w:b/>
          <w:bCs/>
          <w:noProof/>
          <w:sz w:val="24"/>
          <w:szCs w:val="24"/>
        </w:rPr>
        <w:t>(Sies et al., 2017)</w:t>
      </w:r>
      <w:r w:rsidRPr="00674259">
        <w:rPr>
          <w:rFonts w:asciiTheme="minorHAnsi" w:hAnsiTheme="minorHAnsi"/>
          <w:b/>
          <w:bCs/>
          <w:sz w:val="24"/>
          <w:szCs w:val="24"/>
        </w:rPr>
        <w:fldChar w:fldCharType="end"/>
      </w:r>
      <w:r w:rsidRPr="00A53CCE">
        <w:rPr>
          <w:rFonts w:asciiTheme="minorHAnsi" w:hAnsiTheme="minorHAnsi"/>
          <w:b/>
          <w:bCs/>
          <w:sz w:val="24"/>
          <w:szCs w:val="24"/>
        </w:rPr>
        <w:t>.</w:t>
      </w:r>
      <w:r w:rsidRPr="00A53CCE">
        <w:rPr>
          <w:sz w:val="24"/>
          <w:szCs w:val="24"/>
        </w:rPr>
        <w:t xml:space="preserve"> </w:t>
      </w:r>
      <w:r w:rsidRPr="00A53CCE">
        <w:rPr>
          <w:rFonts w:asciiTheme="minorHAnsi" w:hAnsiTheme="minorHAnsi"/>
          <w:sz w:val="24"/>
          <w:szCs w:val="24"/>
        </w:rPr>
        <w:t xml:space="preserve">OH• is formed by Large amounts of through a Fenton’s reaction in presence of Fe2+ and when there are no enough GSH and CAT enzyme. It can diffuse in the cell and directly interfere with distant molecules such as cell membrane causing LPO and production of MDA as result of breakdown of the unsaturated fatty acids content of the lipid bilayer </w:t>
      </w:r>
      <w:r w:rsidRPr="00674259">
        <w:rPr>
          <w:rFonts w:asciiTheme="minorHAnsi" w:hAnsiTheme="minorHAnsi"/>
          <w:b/>
          <w:bCs/>
          <w:i/>
          <w:iCs/>
          <w:sz w:val="24"/>
          <w:szCs w:val="24"/>
        </w:rPr>
        <w:fldChar w:fldCharType="begin" w:fldLock="1"/>
      </w:r>
      <w:r w:rsidR="004B6D25">
        <w:rPr>
          <w:rFonts w:asciiTheme="minorHAnsi" w:hAnsiTheme="minorHAnsi"/>
          <w:b/>
          <w:bCs/>
          <w:i/>
          <w:iCs/>
          <w:sz w:val="24"/>
          <w:szCs w:val="24"/>
        </w:rPr>
        <w:instrText>ADDIN CSL_CITATION {"citationItems":[{"id":"ITEM-1","itemData":{"DOI":"10.1042/BJ20101695","ISBN":"1470-8728 (Electronic)\\n0264-6021 (Linking)","ISSN":"02646021","PMID":"21309749","abstract":"Aerobic life requires organisms to resist the damaging effects of ROS (reactive oxygen species), particularly during stress. Extensive research has established a detailed picture of how cells respond to oxidative stress. Attention is now focusing on identifying the key molecular targets of ROS, which cause killing when resistance is overwhelmed. Experimental criteria used to establish such targets have differing merits. Depending on the nature of the stress, ROS cause loss of essential cellular functions or gain of toxic functions. Essential targets on which life pivots during ROS stress include membrane lipid integrity and activity of ROS-susceptible proteins, including proteins required for faithful translation of mRNA. Protein oxidation also triggers accumulation of toxic protein aggregates or induction of apoptotic cell death. This burgeoning understanding of the principal ROS targets will offer new possibilities for therapy of ROS related diseases. © The Authors Journal compilation © 2011 Biochemical Society.","author":[{"dropping-particle":"V.","family":"Avery","given":"Simon V.","non-dropping-particle":"","parse-names":false,"suffix":""}],"container-title":"Biochemical Journal","id":"ITEM-1","issue":"2","issued":{"date-parts":[["2011"]]},"page":"201-210","title":"Molecular targets of oxidative stress","type":"article-journal","volume":"434"},"uris":["http://www.mendeley.com/documents/?uuid=2501fd41-0a0b-4e40-911f-33c3d0dc5d01"]}],"mendeley":{"formattedCitation":"(Avery, 2011)","plainTextFormattedCitation":"(Avery, 2011)","previouslyFormattedCitation":"(Avery, 2011)"},"properties":{"noteIndex":0},"schema":"https://github.com/citation-style-language/schema/raw/master/csl-citation.json"}</w:instrText>
      </w:r>
      <w:r w:rsidRPr="00674259">
        <w:rPr>
          <w:rFonts w:asciiTheme="minorHAnsi" w:hAnsiTheme="minorHAnsi"/>
          <w:b/>
          <w:bCs/>
          <w:i/>
          <w:iCs/>
          <w:sz w:val="24"/>
          <w:szCs w:val="24"/>
        </w:rPr>
        <w:fldChar w:fldCharType="separate"/>
      </w:r>
      <w:r w:rsidRPr="00674259">
        <w:rPr>
          <w:rFonts w:asciiTheme="minorHAnsi" w:hAnsiTheme="minorHAnsi"/>
          <w:b/>
          <w:bCs/>
          <w:iCs/>
          <w:noProof/>
          <w:sz w:val="24"/>
          <w:szCs w:val="24"/>
        </w:rPr>
        <w:t>(Avery, 2011)</w:t>
      </w:r>
      <w:r w:rsidRPr="00674259">
        <w:rPr>
          <w:rFonts w:asciiTheme="minorHAnsi" w:hAnsiTheme="minorHAnsi"/>
          <w:b/>
          <w:bCs/>
          <w:i/>
          <w:iCs/>
          <w:sz w:val="24"/>
          <w:szCs w:val="24"/>
        </w:rPr>
        <w:fldChar w:fldCharType="end"/>
      </w:r>
      <w:r w:rsidRPr="00674259">
        <w:rPr>
          <w:rFonts w:asciiTheme="minorHAnsi" w:hAnsiTheme="minorHAnsi"/>
          <w:b/>
          <w:bCs/>
          <w:sz w:val="24"/>
          <w:szCs w:val="24"/>
        </w:rPr>
        <w:t>.</w:t>
      </w:r>
      <w:r w:rsidRPr="00A53CCE">
        <w:t xml:space="preserve"> </w:t>
      </w:r>
    </w:p>
    <w:p w14:paraId="2279E14D" w14:textId="11313512" w:rsidR="00596444" w:rsidRDefault="00674259" w:rsidP="000C0E99">
      <w:pPr>
        <w:pStyle w:val="Normal14pt"/>
        <w:spacing w:line="360" w:lineRule="auto"/>
        <w:ind w:left="-450" w:firstLine="0"/>
        <w:jc w:val="both"/>
        <w:rPr>
          <w:rFonts w:asciiTheme="minorHAnsi" w:hAnsiTheme="minorHAnsi"/>
          <w:b/>
          <w:bCs/>
          <w:sz w:val="24"/>
          <w:szCs w:val="24"/>
        </w:rPr>
      </w:pPr>
      <w:r w:rsidRPr="00674259">
        <w:rPr>
          <w:sz w:val="24"/>
          <w:szCs w:val="24"/>
        </w:rPr>
        <w:t>In the same line, our results revealed incidence of oxidative stress indicated by a remarkable increase in MDA level (LPO marker) along with reduction in TAC in response to FPN and/or K2Cr2O7 insult</w:t>
      </w:r>
      <w:r w:rsidRPr="00674259">
        <w:t xml:space="preserve">. </w:t>
      </w:r>
      <w:bookmarkStart w:id="9" w:name="_Hlk42282401"/>
      <w:r w:rsidRPr="00674259">
        <w:rPr>
          <w:rFonts w:asciiTheme="minorHAnsi" w:hAnsiTheme="minorHAnsi"/>
          <w:sz w:val="24"/>
          <w:szCs w:val="24"/>
        </w:rPr>
        <w:t>These findings were in agreement with those of several published studies on FPN and K2Cr2O7 intoxication</w:t>
      </w:r>
      <w:r w:rsidR="00A53CCE" w:rsidRPr="00A53CCE">
        <w:rPr>
          <w:rFonts w:asciiTheme="minorHAnsi" w:hAnsiTheme="minorHAnsi"/>
          <w:sz w:val="24"/>
          <w:szCs w:val="24"/>
        </w:rPr>
        <w:t xml:space="preserve"> where the MDA levels ,NO were significantly increased ,while TAC decreased in liver tissue in response to FPN intoxication</w:t>
      </w:r>
      <w:r w:rsidR="00A53CCE" w:rsidRPr="00A53CCE">
        <w:t xml:space="preserve"> </w:t>
      </w:r>
      <w:r w:rsidR="00A53CCE" w:rsidRPr="00A53CCE">
        <w:rPr>
          <w:rFonts w:asciiTheme="minorHAnsi" w:hAnsiTheme="minorHAnsi"/>
          <w:sz w:val="24"/>
          <w:szCs w:val="24"/>
        </w:rPr>
        <w:t xml:space="preserve">or K2Cr2O7 treatment </w:t>
      </w:r>
      <w:r w:rsidR="00A53CCE" w:rsidRPr="00A53CCE">
        <w:rPr>
          <w:rFonts w:asciiTheme="minorHAnsi" w:hAnsiTheme="minorHAnsi"/>
          <w:b/>
          <w:bCs/>
          <w:sz w:val="24"/>
          <w:szCs w:val="24"/>
        </w:rPr>
        <w:fldChar w:fldCharType="begin" w:fldLock="1"/>
      </w:r>
      <w:r w:rsidR="004B6D25">
        <w:rPr>
          <w:rFonts w:asciiTheme="minorHAnsi" w:hAnsiTheme="minorHAnsi"/>
          <w:b/>
          <w:bCs/>
          <w:sz w:val="24"/>
          <w:szCs w:val="24"/>
        </w:rPr>
        <w:instrText>ADDIN CSL_CITATION {"citationItems":[{"id":"ITEM-1","itemData":{"ISBN":"1135601836","author":[{"dropping-particle":"","family":"Elgawish","given":"Rania Abdelrahman","non-dropping-particle":"","parse-names":false,"suffix":""},{"dropping-particle":"","family":"Soliman","given":"Mohamed T A","non-dropping-particle":"","parse-names":false,"suffix":""}],"id":"ITEM-1","issued":{"date-parts":[["2019"]]},"page":"199-207","publisher":"Environmental Science and Pollution Research","title":"Hepatoprotective activity of Uncaria tomentosa extract against sub-chronic exposure to fipronil in male rats","type":"article-journal"},"uris":["http://www.mendeley.com/documents/?uuid=4031bca3-dcfa-46df-a548-c96a96888f73"]},{"id":"ITEM-2","itemData":{"DOI":"10.1016/j.etp.2010.04.005","ISSN":"09402993","abstract":"Chromium, a major environmental pollutant, is known for its wide toxic manifestations. The present experiment pertains to the protective role of selenium (Se) against K 2Cr 2O 7-induced hepatotoxicity. Female Wistar rats were divided into four groups of six each: group I served as controls which received standard diet; group II received in drinking water K 2Cr 2O 7 alone (700ppm); group III received both K 2Cr 2O 7 and Se (0.5 Na 2SeO 3 mg/kg of diet); group IV received Se (0.5mg/kg of diet) for 3 weeks. Exposure of rats to chromium promoted oxidative stress with an increase in malondialdehyde (MDA) and a decrease in glutathione (GSH) levels. A decrease in glutathione peroxidase (GPx) and an increase in superoxide dismutase (SOD) and catalase (CAT) activities were observed. Se supplementation to the diet of group III improved all the parameters cited above. Yet, plasma transaminases (AST and ALT), lactate dehydrogenase (LDH) activities, cholesterol, triglycerides (TG) and low density lipoprotein-cholesterol (LDL-C) levels increased, while high density lipoprotein-cholesterol (HDL-C) decreased. Co-administration of Se to the diet of group III restored hepatic markers to near-normal values. The biochemical results confirmed the histopathological findings. Therefore, our investigation revealed that Se was effective in preventing K 2Cr 2O 7-induced hepatotoxicity. © 2010 Elsevier GmbH.","author":[{"dropping-particle":"","family":"Soudani","given":"Nejla","non-dropping-particle":"","parse-names":false,"suffix":""},{"dropping-particle":"","family":"Amara","given":"Ibtissem","non-dropping-particle":"Ben","parse-names":false,"suffix":""},{"dropping-particle":"","family":"Sefi","given":"Mediha","non-dropping-particle":"","parse-names":false,"suffix":""},{"dropping-particle":"","family":"Boudawara","given":"Tahia","non-dropping-particle":"","parse-names":false,"suffix":""},{"dropping-particle":"","family":"Zeghal","given":"Najiba","non-dropping-particle":"","parse-names":false,"suffix":""}],"container-title":"Experimental and Toxicologic Pathology","id":"ITEM-2","issue":"6","issued":{"date-parts":[["2011"]]},"page":"541-548","publisher":"Elsevier GmbH.","title":"Effects of selenium on chromium (VI)-induced hepatotoxicity in adult rats","type":"article-journal","volume":"63"},"uris":["http://www.mendeley.com/documents/?uuid=0d664ef2-66cb-4c9b-95c8-6e8fa5088d3a"]}],"mendeley":{"formattedCitation":"(Elgawish &amp; Soliman, 2019; Soudani et al., 2011)","plainTextFormattedCitation":"(Elgawish &amp; Soliman, 2019; Soudani et al., 2011)","previouslyFormattedCitation":"(Elgawish &amp; Soliman, 2019; Soudani et al., 2011)"},"properties":{"noteIndex":0},"schema":"https://github.com/citation-style-language/schema/raw/master/csl-citation.json"}</w:instrText>
      </w:r>
      <w:r w:rsidR="00A53CCE" w:rsidRPr="00A53CCE">
        <w:rPr>
          <w:rFonts w:asciiTheme="minorHAnsi" w:hAnsiTheme="minorHAnsi"/>
          <w:b/>
          <w:bCs/>
          <w:sz w:val="24"/>
          <w:szCs w:val="24"/>
        </w:rPr>
        <w:fldChar w:fldCharType="separate"/>
      </w:r>
      <w:r w:rsidR="00A53CCE" w:rsidRPr="00A53CCE">
        <w:rPr>
          <w:rFonts w:asciiTheme="minorHAnsi" w:hAnsiTheme="minorHAnsi"/>
          <w:b/>
          <w:bCs/>
          <w:noProof/>
          <w:sz w:val="24"/>
          <w:szCs w:val="24"/>
        </w:rPr>
        <w:t>(Elgawish &amp; Soliman, 2019; Soudani et al., 2011)</w:t>
      </w:r>
      <w:r w:rsidR="00A53CCE" w:rsidRPr="00A53CCE">
        <w:rPr>
          <w:rFonts w:asciiTheme="minorHAnsi" w:hAnsiTheme="minorHAnsi"/>
          <w:b/>
          <w:bCs/>
          <w:sz w:val="24"/>
          <w:szCs w:val="24"/>
        </w:rPr>
        <w:fldChar w:fldCharType="end"/>
      </w:r>
      <w:r w:rsidR="00A53CCE" w:rsidRPr="00A53CCE">
        <w:rPr>
          <w:rFonts w:asciiTheme="minorHAnsi" w:hAnsiTheme="minorHAnsi"/>
          <w:b/>
          <w:bCs/>
          <w:i/>
          <w:iCs/>
          <w:sz w:val="24"/>
          <w:szCs w:val="24"/>
        </w:rPr>
        <w:t>.</w:t>
      </w:r>
      <w:r w:rsidR="00A53CCE" w:rsidRPr="00A53CCE">
        <w:rPr>
          <w:rFonts w:asciiTheme="minorHAnsi" w:hAnsiTheme="minorHAnsi"/>
          <w:b/>
          <w:bCs/>
          <w:sz w:val="24"/>
          <w:szCs w:val="24"/>
        </w:rPr>
        <w:t xml:space="preserve"> </w:t>
      </w:r>
    </w:p>
    <w:bookmarkEnd w:id="9"/>
    <w:p w14:paraId="66ECF8C9" w14:textId="5A4103F3" w:rsidR="005F7792" w:rsidRPr="00E67D31" w:rsidRDefault="005F7792" w:rsidP="00FA6001">
      <w:pPr>
        <w:autoSpaceDE w:val="0"/>
        <w:autoSpaceDN w:val="0"/>
        <w:adjustRightInd w:val="0"/>
        <w:spacing w:after="0" w:line="360" w:lineRule="auto"/>
        <w:ind w:left="-450"/>
        <w:jc w:val="both"/>
        <w:rPr>
          <w:rFonts w:cs="Times New Roman"/>
          <w:b/>
          <w:bCs/>
          <w:sz w:val="24"/>
          <w:szCs w:val="24"/>
        </w:rPr>
      </w:pPr>
      <w:r w:rsidRPr="005F7792">
        <w:rPr>
          <w:sz w:val="24"/>
          <w:szCs w:val="24"/>
        </w:rPr>
        <w:t xml:space="preserve">Additionally, </w:t>
      </w:r>
      <w:r w:rsidRPr="005F7792">
        <w:rPr>
          <w:rFonts w:cs="Times New Roman"/>
          <w:sz w:val="24"/>
          <w:szCs w:val="24"/>
        </w:rPr>
        <w:t xml:space="preserve">oxygen free radicals play a key role in initiation and progression of inflammation </w:t>
      </w:r>
      <w:r w:rsidRPr="00D33B60">
        <w:rPr>
          <w:rFonts w:cs="Times New Roman"/>
          <w:b/>
          <w:bCs/>
          <w:sz w:val="24"/>
          <w:szCs w:val="24"/>
        </w:rPr>
        <w:fldChar w:fldCharType="begin" w:fldLock="1"/>
      </w:r>
      <w:r w:rsidR="00B6605D">
        <w:rPr>
          <w:rFonts w:cs="Times New Roman"/>
          <w:b/>
          <w:bCs/>
          <w:sz w:val="24"/>
          <w:szCs w:val="24"/>
        </w:rPr>
        <w:instrText>ADDIN CSL_CITATION {"citationItems":[{"id":"ITEM-1","itemData":{"DOI":"10.1016/j.bbamcr.2014.05.014","ISSN":"18792596","PMID":"24892271","abstract":"Inflammation occurs as a result of exposure of tissues and organs to harmful stimuli such as microbial pathogens, irritants, or toxic cellular components. The primary physical manifestations of inflammation are redness, swelling, heat, pain, and loss of function to the affected area. These processes involve the major cells of the immune system, including monocytes, macrophages, neutrophils, basophils, dendritic cells, mast cells, T-cells, and B-cells. However, examination of a range of inflammatory lesions demonstrates the presence of specific leukocytes in any given lesion. That is, the inflammatory process is regulated in such a way as to ensure that the appropriate leukocytes are recruited. These events are in turn controlled by a host of extracellular molecular regulators, including members of the cytokine and chemokine families that mediate both immune cell recruitment and complex intracellular signalling control mechanisms that characterise inflammation. This review will focus on the role of the main cytokines, chemokines, and their receptors in the pathophysiology of auto-inflammatory disorders, pro-inflammatory disorders, and neurological disorders involving inflammation. © 2014 Elsevier B.V.","author":[{"dropping-particle":"","family":"Turner","given":"Mark D.","non-dropping-particle":"","parse-names":false,"suffix":""},{"dropping-particle":"","family":"Nedjai","given":"Belinda","non-dropping-particle":"","parse-names":false,"suffix":""},{"dropping-particle":"","family":"Hurst","given":"Tara","non-dropping-particle":"","parse-names":false,"suffix":""},{"dropping-particle":"","family":"Pennington","given":"Daniel J.","non-dropping-particle":"","parse-names":false,"suffix":""}],"container-title":"Biochimica et Biophysica Acta - Molecular Cell Research","id":"ITEM-1","issue":"11","issued":{"date-parts":[["2014"]]},"page":"2563-2582","publisher":"Elsevier B.V.","title":"Cytokines and chemokines: At the crossroads of cell signalling and inflammatory disease","type":"article-journal","volume":"1843"},"uris":["http://www.mendeley.com/documents/?uuid=747de99a-e4af-4ad7-9304-f4e40d7c880a"]}],"mendeley":{"formattedCitation":"(Turner, Nedjai, Hurst, &amp; Pennington, 2014)","manualFormatting":"(Turner et al., 2014)","plainTextFormattedCitation":"(Turner, Nedjai, Hurst, &amp; Pennington, 2014)","previouslyFormattedCitation":"(Turner, Nedjai, Hurst, &amp; Pennington, 2014)"},"properties":{"noteIndex":0},"schema":"https://github.com/citation-style-language/schema/raw/master/csl-citation.json"}</w:instrText>
      </w:r>
      <w:r w:rsidRPr="00D33B60">
        <w:rPr>
          <w:rFonts w:cs="Times New Roman"/>
          <w:b/>
          <w:bCs/>
          <w:sz w:val="24"/>
          <w:szCs w:val="24"/>
        </w:rPr>
        <w:fldChar w:fldCharType="separate"/>
      </w:r>
      <w:r w:rsidR="004B6D25" w:rsidRPr="00D33B60">
        <w:rPr>
          <w:rFonts w:cs="Times New Roman"/>
          <w:b/>
          <w:bCs/>
          <w:noProof/>
          <w:sz w:val="24"/>
          <w:szCs w:val="24"/>
        </w:rPr>
        <w:t>(Turner</w:t>
      </w:r>
      <w:r w:rsidR="00D33B60">
        <w:rPr>
          <w:rFonts w:cs="Times New Roman" w:hint="cs"/>
          <w:b/>
          <w:bCs/>
          <w:noProof/>
          <w:sz w:val="24"/>
          <w:szCs w:val="24"/>
          <w:rtl/>
        </w:rPr>
        <w:t xml:space="preserve"> </w:t>
      </w:r>
      <w:r w:rsidR="00D33B60">
        <w:rPr>
          <w:rFonts w:cs="Times New Roman"/>
          <w:b/>
          <w:bCs/>
          <w:noProof/>
          <w:sz w:val="24"/>
          <w:szCs w:val="24"/>
        </w:rPr>
        <w:t xml:space="preserve">et al., </w:t>
      </w:r>
      <w:r w:rsidR="004B6D25" w:rsidRPr="00D33B60">
        <w:rPr>
          <w:rFonts w:cs="Times New Roman"/>
          <w:b/>
          <w:bCs/>
          <w:noProof/>
          <w:sz w:val="24"/>
          <w:szCs w:val="24"/>
        </w:rPr>
        <w:t>2014)</w:t>
      </w:r>
      <w:r w:rsidRPr="00D33B60">
        <w:rPr>
          <w:rFonts w:cs="Times New Roman"/>
          <w:b/>
          <w:bCs/>
          <w:sz w:val="24"/>
          <w:szCs w:val="24"/>
        </w:rPr>
        <w:fldChar w:fldCharType="end"/>
      </w:r>
      <w:r w:rsidRPr="005F7792">
        <w:rPr>
          <w:rFonts w:cs="Times New Roman"/>
          <w:b/>
          <w:bCs/>
          <w:sz w:val="24"/>
          <w:szCs w:val="24"/>
        </w:rPr>
        <w:t>.</w:t>
      </w:r>
      <w:r w:rsidRPr="005F7792">
        <w:rPr>
          <w:rFonts w:cs="Times New Roman"/>
          <w:sz w:val="24"/>
          <w:szCs w:val="24"/>
        </w:rPr>
        <w:t xml:space="preserve"> combined action of free cytokines and free radicals activates endothelial cells and promotes synthesis of inflammatory mediators and adhesion molecules. finally, the ROS exert its toxic effect on the cell components at the inflammatory site resulting in loss of cell functioning and death </w:t>
      </w:r>
      <w:r w:rsidRPr="00E67D31">
        <w:rPr>
          <w:rFonts w:cs="Times New Roman"/>
          <w:b/>
          <w:bCs/>
          <w:sz w:val="24"/>
          <w:szCs w:val="24"/>
        </w:rPr>
        <w:fldChar w:fldCharType="begin" w:fldLock="1"/>
      </w:r>
      <w:r w:rsidR="00B6605D">
        <w:rPr>
          <w:rFonts w:cs="Times New Roman"/>
          <w:b/>
          <w:bCs/>
          <w:sz w:val="24"/>
          <w:szCs w:val="24"/>
        </w:rPr>
        <w:instrText>ADDIN CSL_CITATION {"citationItems":[{"id":"ITEM-1","itemData":{"DOI":"10.1111/j.1755-5922.2010.00218.x","ISSN":"17555914","abstract":"The prevalence of diabetes has dramatically increased worldwide due to the vast increase in the obesity rate. Diabetic nephropathy is one of the major complications of type 1 and type 2 diabetes and it is currently the leading cause of end-stage renal disease. Hyperglycemia is the driving force for the development of diabetic nephropathy. It is well known that hyperglycemia increases the production of free radicals resulting in oxidative stress. While increases in oxidative stress have been shown to contribute to the development and progression of diabetic nephropathy, the mechanisms by which this occurs are still being investigated. Historically, diabetes was not thought to be an immune disease; however, there is increasing evidence supporting a role for inflammation in type 1 and type 2 diabetes. Inflammatory cells, cytokines, and profibrotic growth factors including transforming growth factor-β (TGF-β), monocyte chemoattractant protein-1 (MCP-1), connective tissue growth factor (CTGF), tumor necrosis factor-α (TNF-α), interleukin-1 (IL-1), interleukin-6 (IL-6), interleukin-18 (IL-18), and cell adhesion molecules (CAMs) have all been implicated in the pathogenesis of diabetic nephropathy via increased vascular inflammation and fibrosis. The stimulus for the increase in inflammation in diabetes is still under investigation; however, reactive oxygen species are a primary candidate. Thus, targeting oxidative stress-inflammatory cytokine signaling could improve therapeutic options for diabetic nephropathy. The current review will focus on understanding the relationship between oxidative stress and inflammatory cytokines in diabetic nephropathy to help elucidate the question of which comes first in the progression of diabetic nephropathy, oxidative stress, or inflammation. © 2010 Blackwell Publishing Ltd.","author":[{"dropping-particle":"","family":"Elmarakby","given":"Ahmed A.","non-dropping-particle":"","parse-names":false,"suffix":""},{"dropping-particle":"","family":"Sullivan","given":"Jennifer C.","non-dropping-particle":"","parse-names":false,"suffix":""}],"container-title":"Cardiovascular Therapeutics","id":"ITEM-1","issue":"1","issued":{"date-parts":[["2012"]]},"page":"49-59","title":"Relationship between oxidative stress and inflammatory cytokines in diabetic nephropathy","type":"article-journal","volume":"30"},"uris":["http://www.mendeley.com/documents/?uuid=0474ca36-fdc3-41f7-98df-d0fa90b89aea"]}],"mendeley":{"formattedCitation":"(Elmarakby &amp; Sullivan, 2012)","manualFormatting":"(Elmarakby  et al., 2012)","plainTextFormattedCitation":"(Elmarakby &amp; Sullivan, 2012)","previouslyFormattedCitation":"(Elmarakby &amp; Sullivan, 2012)"},"properties":{"noteIndex":0},"schema":"https://github.com/citation-style-language/schema/raw/master/csl-citation.json"}</w:instrText>
      </w:r>
      <w:r w:rsidRPr="00E67D31">
        <w:rPr>
          <w:rFonts w:cs="Times New Roman"/>
          <w:b/>
          <w:bCs/>
          <w:sz w:val="24"/>
          <w:szCs w:val="24"/>
        </w:rPr>
        <w:fldChar w:fldCharType="separate"/>
      </w:r>
      <w:r w:rsidRPr="00E67D31">
        <w:rPr>
          <w:rFonts w:cs="Times New Roman"/>
          <w:b/>
          <w:bCs/>
          <w:noProof/>
          <w:sz w:val="24"/>
          <w:szCs w:val="24"/>
        </w:rPr>
        <w:t>(Elmarakby  et al., 2012)</w:t>
      </w:r>
      <w:r w:rsidRPr="00E67D31">
        <w:rPr>
          <w:rFonts w:cs="Times New Roman"/>
          <w:b/>
          <w:bCs/>
          <w:sz w:val="24"/>
          <w:szCs w:val="24"/>
        </w:rPr>
        <w:fldChar w:fldCharType="end"/>
      </w:r>
      <w:r w:rsidRPr="00E67D31">
        <w:rPr>
          <w:rFonts w:cs="Times New Roman"/>
          <w:b/>
          <w:bCs/>
          <w:sz w:val="24"/>
          <w:szCs w:val="24"/>
        </w:rPr>
        <w:t>.</w:t>
      </w:r>
      <w:r w:rsidRPr="00E67D31">
        <w:rPr>
          <w:rFonts w:cs="Times New Roman"/>
          <w:sz w:val="24"/>
          <w:szCs w:val="24"/>
        </w:rPr>
        <w:t xml:space="preserve"> The major findings of the present study are the significant up regulation to </w:t>
      </w:r>
      <w:r w:rsidRPr="00E67D31">
        <w:rPr>
          <w:rFonts w:cs="Times New Roman"/>
          <w:sz w:val="24"/>
          <w:szCs w:val="24"/>
        </w:rPr>
        <w:lastRenderedPageBreak/>
        <w:t xml:space="preserve">levels of IL-6 and </w:t>
      </w:r>
      <w:bookmarkStart w:id="10" w:name="_Hlk42033682"/>
      <w:r w:rsidRPr="00E67D31">
        <w:rPr>
          <w:rFonts w:cs="Times New Roman"/>
          <w:sz w:val="24"/>
          <w:szCs w:val="24"/>
        </w:rPr>
        <w:t>TNF-α</w:t>
      </w:r>
      <w:bookmarkEnd w:id="10"/>
      <w:r w:rsidRPr="00E67D31">
        <w:rPr>
          <w:rFonts w:cs="Times New Roman"/>
          <w:sz w:val="24"/>
          <w:szCs w:val="24"/>
        </w:rPr>
        <w:t xml:space="preserve"> on liver tissues on FPN and K2Cr2O7 alone or in combination compared to control group</w:t>
      </w:r>
      <w:r w:rsidR="00E67D31" w:rsidRPr="00E67D31">
        <w:rPr>
          <w:rFonts w:cs="Times New Roman"/>
          <w:sz w:val="24"/>
          <w:szCs w:val="24"/>
        </w:rPr>
        <w:t>.</w:t>
      </w:r>
      <w:r w:rsidR="00E67D31" w:rsidRPr="00E67D31">
        <w:rPr>
          <w:rFonts w:cs="Times New Roman"/>
          <w:sz w:val="28"/>
          <w:szCs w:val="28"/>
        </w:rPr>
        <w:t xml:space="preserve"> </w:t>
      </w:r>
      <w:r w:rsidR="00E67D31" w:rsidRPr="00E67D31">
        <w:rPr>
          <w:rFonts w:cs="Times New Roman"/>
          <w:sz w:val="24"/>
          <w:szCs w:val="24"/>
        </w:rPr>
        <w:t>It was also observed that TNF-α was positively correlated with interleukins as Production of interleukins accompanied with increased production of</w:t>
      </w:r>
      <w:r w:rsidR="005B6DEB">
        <w:rPr>
          <w:rFonts w:cs="Times New Roman"/>
          <w:sz w:val="24"/>
          <w:szCs w:val="24"/>
        </w:rPr>
        <w:t xml:space="preserve"> </w:t>
      </w:r>
      <w:r w:rsidR="00E67D31" w:rsidRPr="00E67D31">
        <w:rPr>
          <w:rFonts w:cs="Times New Roman"/>
          <w:sz w:val="24"/>
          <w:szCs w:val="24"/>
        </w:rPr>
        <w:t xml:space="preserve">TNF-α </w:t>
      </w:r>
      <w:r w:rsidR="00E67D31" w:rsidRPr="00E67D31">
        <w:rPr>
          <w:rFonts w:cs="Times New Roman"/>
          <w:b/>
          <w:bCs/>
          <w:sz w:val="24"/>
          <w:szCs w:val="24"/>
        </w:rPr>
        <w:fldChar w:fldCharType="begin" w:fldLock="1"/>
      </w:r>
      <w:r w:rsidR="00B6605D">
        <w:rPr>
          <w:rFonts w:cs="Times New Roman"/>
          <w:b/>
          <w:bCs/>
          <w:sz w:val="24"/>
          <w:szCs w:val="24"/>
        </w:rPr>
        <w:instrText>ADDIN CSL_CITATION {"citationItems":[{"id":"ITEM-1","itemData":{"DOI":"10.3923/ijp.2017.990.999","ISSN":"18125700","abstract":"Background and Objective: Potassium dichromate (K2Cr2O7) is an environmental contaminant widely recognized as a carcinogen, mutagen and teratogen toward humans and animals. The objective was to study the toxicity induce by K2Cr2O7 and to evaluate the possible ameliorating effect of vitamin-C on potassium dichromate (K2Cr2O7) induced oxidative stress and generation of inflammatory response in rats. Materials and Methods: Adult male wistar rats were randomly divided into 4 groups of five animals each: Group I-N received single i.p., injection of normal saline and served as normal control group; group II (K2Cr2O7)-K group was subjected to a single i. p., injection of potassium dichromate (15 mg kg-1) to induce toxicity; while the group III (K2Cr2O7+Vitamin C)-CK group was pretreated with single i.p., injection of vitamin-C (250 mg kg-1), 6 h prior to administration of potassium dichromate. The group IV (Vitamin-C only)-C group received single i.p., injection of vitamin-C in saline (250 mg kg-1). The body weight of each animal was recorded before and after completion of the respective treatment. Oxidative stress markers like MDA, glutathione levels and serum interleukins (IL-10, IL-1 a, IL-6, IL-8, IL-18 and TNF-α) were determined in all of rats studied. Comparison between the groups was performed by one way ANOVA followed by Holm-Sidak test. Pearson’s correlation coefficient was performed to study the correlation between interleukins in K and CK group. Results: The K2Cr2O7 administration increased serum IL-6, IL-8, IL-10, IL-18 and TNF-α levels significantly (p&lt;0.001) compared to saline treated control group. The levels of MDA and glutathione were altered significantly (p&lt;0.001) in dichromate treated group compared to the control. These changes were reversed significantly (p&lt;0.001) in animals receiving a pretreatment of vitamin-C. Conclusion: It is concluded that potassium dichromate is known to induce oxidative stress and inflammation in rats and the toxicity is reversed by the chemoprotective and anti-inflammatory property of vitamin-C.","author":[{"dropping-particle":"","family":"Jameil","given":"Noura","non-dropping-particle":"Al","parse-names":false,"suffix":""},{"dropping-particle":"","family":"Tabassum","given":"Hajera","non-dropping-particle":"","parse-names":false,"suffix":""},{"dropping-particle":"","family":"Fatima","given":"Sabiha","non-dropping-particle":"","parse-names":false,"suffix":""},{"dropping-particle":"","family":"Ali","given":"Mir Naiman","non-dropping-particle":"","parse-names":false,"suffix":""},{"dropping-particle":"","family":"Rizwana","given":"Humaira","non-dropping-particle":"","parse-names":false,"suffix":""},{"dropping-particle":"","family":"Khan","given":"Farah Aziz","non-dropping-particle":"","parse-names":false,"suffix":""}],"container-title":"International Journal of Pharmacology","id":"ITEM-1","issue":"8","issued":{"date-parts":[["2017"]]},"page":"990-999","title":"Ameliorating effect of Vitamin C against potassium dichromate induced oxidative stress and inflammatory response in rats","type":"article-journal","volume":"13"},"uris":["http://www.mendeley.com/documents/?uuid=3a64c4ad-ed8d-4c9a-9381-cfab82bb454f"]}],"mendeley":{"formattedCitation":"(Al Jameil et al., 2017)","plainTextFormattedCitation":"(Al Jameil et al., 2017)","previouslyFormattedCitation":"(Al Jameil et al., 2017)"},"properties":{"noteIndex":0},"schema":"https://github.com/citation-style-language/schema/raw/master/csl-citation.json"}</w:instrText>
      </w:r>
      <w:r w:rsidR="00E67D31" w:rsidRPr="00E67D31">
        <w:rPr>
          <w:rFonts w:cs="Times New Roman"/>
          <w:b/>
          <w:bCs/>
          <w:sz w:val="24"/>
          <w:szCs w:val="24"/>
        </w:rPr>
        <w:fldChar w:fldCharType="separate"/>
      </w:r>
      <w:r w:rsidR="004B6D25" w:rsidRPr="004B6D25">
        <w:rPr>
          <w:rFonts w:cs="Times New Roman"/>
          <w:bCs/>
          <w:noProof/>
          <w:sz w:val="24"/>
          <w:szCs w:val="24"/>
        </w:rPr>
        <w:t>(Al Jameil et al., 2017)</w:t>
      </w:r>
      <w:r w:rsidR="00E67D31" w:rsidRPr="00E67D31">
        <w:rPr>
          <w:rFonts w:cs="Times New Roman"/>
          <w:b/>
          <w:bCs/>
          <w:sz w:val="24"/>
          <w:szCs w:val="24"/>
        </w:rPr>
        <w:fldChar w:fldCharType="end"/>
      </w:r>
      <w:r w:rsidR="00E67D31" w:rsidRPr="00E67D31">
        <w:rPr>
          <w:rFonts w:cs="Times New Roman"/>
          <w:sz w:val="24"/>
          <w:szCs w:val="24"/>
        </w:rPr>
        <w:t>.ALSO, There is a</w:t>
      </w:r>
      <w:r w:rsidR="00E67D31" w:rsidRPr="00E67D31">
        <w:rPr>
          <w:sz w:val="20"/>
          <w:szCs w:val="20"/>
        </w:rPr>
        <w:t xml:space="preserve"> </w:t>
      </w:r>
      <w:r w:rsidR="00E67D31" w:rsidRPr="00E67D31">
        <w:rPr>
          <w:rFonts w:cs="Times New Roman"/>
          <w:sz w:val="24"/>
          <w:szCs w:val="24"/>
        </w:rPr>
        <w:t xml:space="preserve">complex relationship between oxidative stress and TNF-α  shown that TNF-α increases ROS and ROS increases TNF-α level </w:t>
      </w:r>
      <w:r w:rsidR="00E67D31" w:rsidRPr="00E67D31">
        <w:rPr>
          <w:rFonts w:cs="Times New Roman"/>
          <w:b/>
          <w:bCs/>
          <w:sz w:val="24"/>
          <w:szCs w:val="24"/>
        </w:rPr>
        <w:fldChar w:fldCharType="begin" w:fldLock="1"/>
      </w:r>
      <w:r w:rsidR="00B6605D">
        <w:rPr>
          <w:rFonts w:cs="Times New Roman"/>
          <w:b/>
          <w:bCs/>
          <w:sz w:val="24"/>
          <w:szCs w:val="24"/>
        </w:rPr>
        <w:instrText>ADDIN CSL_CITATION {"citationItems":[{"id":"ITEM-1","itemData":{"DOI":"10.1016/j.lfs.2008.12.014","ISSN":"00243205","abstract":"Aim: Diabetic nephropathy is a serious complication for patients with diabetes mellitus. Approximately 30-40% of patients with type I and 15% with type II diabetes mellitus develop end stage renal disease. The study was designed to evaluate the impact of tocotrienol on renal function and reno-inflammatory cascade in streptozotocin-induced diabetes. Main methods: Streptozotocin (STZ)-induced diabetic rats were treated with tocotrienol (25, 50 and 100 mg/kg), α-tocopherol (100 mg/kg) or with vehicle form 5th to 8th weeks. After 8 weeks, urine albumin excretion, urine output, serum creatinine, blood urea nitrogen, creatinine and urea clearance were measured. Cytoplasmic and nuclear fractions of kidney was prepared for the quantification of oxidative-nitrosative stress (lipid peroxidation, superoxide dismutase, catalase, non protein thiols, total nitric oxide), tumor necrosis factor-alpha (TNF-α), tissue growth factor-1beta (TGF-β1), p65 subunit of NFκβ and caspase-3. Key findings: After 8 weeks of STZ injection, the rats produced significant alteration in renal function, increased oxidative-nitrosative stress, TNF-α, TGF-β1, caspase-3 activity in cytoplasmic lysate and active p65 subunit of NFκβ in nuclear lysate of kidney of diabetic rats. Interestingly, co-administration of tocotrienol significantly and dose-dependently prevented biochemical and molecular changes associated with diabetes. Tocotrienol (100 mg/kg) was demonstrated to be more effective than α-tocopherol (100 mg/kg). Moreover, diabetic rats treated with insulin-tocotrienol combination produced more pronounced effect on molecular parameters as compared to their respective groups. Significance: Taken together, the data reveal that tocotrienol modulates the release of profibrotic cytokines, oxidative stress, ongoing chronic inflammation and apoptosis and thus exerts a marked renoprotective effect. © 2009 Elsevier Inc. All rights reserved.","author":[{"dropping-particle":"","family":"Kuhad","given":"Anurag","non-dropping-particle":"","parse-names":false,"suffix":""},{"dropping-particle":"","family":"Chopra","given":"Kanwaljit","non-dropping-particle":"","parse-names":false,"suffix":""}],"container-title":"Life Sciences","id":"ITEM-1","issue":"9-10","issued":{"date-parts":[["2009"]]},"page":"296-301","publisher":"Elsevier Inc.","title":"Attenuation of diabetic nephropathy by tocotrienol: Involvement of NFkB signaling pathway","type":"article-journal","volume":"84"},"uris":["http://www.mendeley.com/documents/?uuid=7cb5aae0-3b76-429d-b2fd-cda5c7f9e14d"]}],"mendeley":{"formattedCitation":"(Kuhad &amp; Chopra, 2009)","manualFormatting":"(Kuhad et al,. 2009)","plainTextFormattedCitation":"(Kuhad &amp; Chopra, 2009)","previouslyFormattedCitation":"(Kuhad &amp; Chopra, 2009)"},"properties":{"noteIndex":0},"schema":"https://github.com/citation-style-language/schema/raw/master/csl-citation.json"}</w:instrText>
      </w:r>
      <w:r w:rsidR="00E67D31" w:rsidRPr="00E67D31">
        <w:rPr>
          <w:rFonts w:cs="Times New Roman"/>
          <w:b/>
          <w:bCs/>
          <w:sz w:val="24"/>
          <w:szCs w:val="24"/>
        </w:rPr>
        <w:fldChar w:fldCharType="separate"/>
      </w:r>
      <w:r w:rsidR="00E67D31" w:rsidRPr="00E67D31">
        <w:rPr>
          <w:rFonts w:cs="Times New Roman"/>
          <w:b/>
          <w:bCs/>
          <w:noProof/>
          <w:sz w:val="24"/>
          <w:szCs w:val="24"/>
        </w:rPr>
        <w:t xml:space="preserve">(Kuhad </w:t>
      </w:r>
      <w:r w:rsidR="00E67D31" w:rsidRPr="00E67D31">
        <w:rPr>
          <w:rFonts w:cs="Times New Roman"/>
          <w:b/>
          <w:bCs/>
          <w:i/>
          <w:iCs/>
          <w:noProof/>
          <w:sz w:val="24"/>
          <w:szCs w:val="24"/>
        </w:rPr>
        <w:t>et al</w:t>
      </w:r>
      <w:r w:rsidR="00E67D31" w:rsidRPr="00E67D31">
        <w:rPr>
          <w:rFonts w:cs="Times New Roman"/>
          <w:b/>
          <w:bCs/>
          <w:noProof/>
          <w:sz w:val="24"/>
          <w:szCs w:val="24"/>
        </w:rPr>
        <w:t>,. 2009)</w:t>
      </w:r>
      <w:r w:rsidR="00E67D31" w:rsidRPr="00E67D31">
        <w:rPr>
          <w:rFonts w:cs="Times New Roman"/>
          <w:b/>
          <w:bCs/>
          <w:sz w:val="24"/>
          <w:szCs w:val="24"/>
        </w:rPr>
        <w:fldChar w:fldCharType="end"/>
      </w:r>
      <w:r w:rsidR="00E67D31" w:rsidRPr="00E67D31">
        <w:rPr>
          <w:rFonts w:cs="Times New Roman"/>
          <w:sz w:val="24"/>
          <w:szCs w:val="24"/>
        </w:rPr>
        <w:t xml:space="preserve">. This explaining the up-regulation of the inflammatory cytokines (IL-2, IL-6 and TNF-α) in treated groups as FPN and </w:t>
      </w:r>
      <w:bookmarkStart w:id="11" w:name="_Hlk42036534"/>
      <w:r w:rsidR="00E67D31" w:rsidRPr="00E67D31">
        <w:rPr>
          <w:rFonts w:cs="Times New Roman"/>
          <w:sz w:val="24"/>
          <w:szCs w:val="24"/>
        </w:rPr>
        <w:t>K2Cr2O7</w:t>
      </w:r>
      <w:bookmarkEnd w:id="11"/>
      <w:r w:rsidR="00E67D31" w:rsidRPr="00E67D31">
        <w:rPr>
          <w:rFonts w:cs="Times New Roman"/>
          <w:sz w:val="24"/>
          <w:szCs w:val="24"/>
        </w:rPr>
        <w:t xml:space="preserve"> induced their toxicities mainly through oxidative stress. these finding agree with other studies on fipronil and K2Cr2O7</w:t>
      </w:r>
      <w:r w:rsidR="00E67D31" w:rsidRPr="00E67D31">
        <w:rPr>
          <w:rFonts w:cs="Times New Roman"/>
          <w:b/>
          <w:bCs/>
          <w:sz w:val="24"/>
          <w:szCs w:val="24"/>
        </w:rPr>
        <w:fldChar w:fldCharType="begin" w:fldLock="1"/>
      </w:r>
      <w:r w:rsidR="00B6605D">
        <w:rPr>
          <w:rFonts w:cs="Times New Roman"/>
          <w:b/>
          <w:bCs/>
          <w:sz w:val="24"/>
          <w:szCs w:val="24"/>
        </w:rPr>
        <w:instrText>ADDIN CSL_CITATION {"citationItems":[{"id":"ITEM-1","itemData":{"ISBN":"1135601836","author":[{"dropping-particle":"","family":"Elgawish","given":"Rania Abdelrahman","non-dropping-particle":"","parse-names":false,"suffix":""},{"dropping-particle":"","family":"Soliman","given":"Mohamed T A","non-dropping-particle":"","parse-names":false,"suffix":""}],"id":"ITEM-1","issued":{"date-parts":[["2019"]]},"page":"199-207","publisher":"Environmental Science and Pollution Research","title":"Hepatoprotective activity of Uncaria tomentosa extract against sub-chronic exposure to fipronil in male rats","type":"article-journal"},"uris":["http://www.mendeley.com/documents/?uuid=4031bca3-dcfa-46df-a548-c96a96888f73"]},{"id":"ITEM-2","itemData":{"DOI":"10.1016/j.envpol.2019.05.012","author":[{"dropping-particle":"","family":"Khalil","given":"Samah R","non-dropping-particle":"","parse-names":false,"suffix":""},{"dropping-particle":"","family":"Mohammed","given":"Wafaa A","non-dropping-particle":"","parse-names":false,"suffix":""},{"dropping-particle":"","family":"Zaglool","given":"Asmaa W","non-dropping-particle":"","parse-names":false,"suffix":""},{"dropping-particle":"","family":"Elhady","given":"Walaa M","non-dropping-particle":"","parse-names":false,"suffix":""},{"dropping-particle":"","family":"Farag","given":"Mayada R","non-dropping-particle":"","parse-names":false,"suffix":""},{"dropping-particle":"","family":"El","given":"A M","non-dropping-particle":"","parse-names":false,"suffix":""}],"id":"ITEM-2","issued":{"date-parts":[["2019"]]},"page":"564-572","title":"In fl ammatory and oxidative injury is induced in cardiac and pulmonary tissue following fi pronil exposure in Japanese quail : mRNA expression of the genes encoding interleukin 6 , nuclear factor kappa B , and tumor necrosis factor-alpha +","type":"article-journal","volume":"251"},"uris":["http://www.mendeley.com/documents/?uuid=289e8435-df1a-4050-8b51-e000759ecf3d"]},{"id":"ITEM-3","itemData":{"DOI":"10.3923/ijp.2017.990.999","ISSN":"18125700","abstract":"Background and Objective: Potassium dichromate (K2Cr2O7) is an environmental contaminant widely recognized as a carcinogen, mutagen and teratogen toward humans and animals. The objective was to study the toxicity induce by K2Cr2O7 and to evaluate the possible ameliorating effect of vitamin-C on potassium dichromate (K2Cr2O7) induced oxidative stress and generation of inflammatory response in rats. Materials and Methods: Adult male wistar rats were randomly divided into 4 groups of five animals each: Group I-N received single i.p., injection of normal saline and served as normal control group; group II (K2Cr2O7)-K group was subjected to a single i. p., injection of potassium dichromate (15 mg kg-1) to induce toxicity; while the group III (K2Cr2O7+Vitamin C)-CK group was pretreated with single i.p., injection of vitamin-C (250 mg kg-1), 6 h prior to administration of potassium dichromate. The group IV (Vitamin-C only)-C group received single i.p., injection of vitamin-C in saline (250 mg kg-1). The body weight of each animal was recorded before and after completion of the respective treatment. Oxidative stress markers like MDA, glutathione levels and serum interleukins (IL-10, IL-1 a, IL-6, IL-8, IL-18 and TNF-α) were determined in all of rats studied. Comparison between the groups was performed by one way ANOVA followed by Holm-Sidak test. Pearson’s correlation coefficient was performed to study the correlation between interleukins in K and CK group. Results: The K2Cr2O7 administration increased serum IL-6, IL-8, IL-10, IL-18 and TNF-α levels significantly (p&lt;0.001) compared to saline treated control group. The levels of MDA and glutathione were altered significantly (p&lt;0.001) in dichromate treated group compared to the control. These changes were reversed significantly (p&lt;0.001) in animals receiving a pretreatment of vitamin-C. Conclusion: It is concluded that potassium dichromate is known to induce oxidative stress and inflammation in rats and the toxicity is reversed by the chemoprotective and anti-inflammatory property of vitamin-C.","author":[{"dropping-particle":"","family":"Jameil","given":"Noura","non-dropping-particle":"Al","parse-names":false,"suffix":""},{"dropping-particle":"","family":"Tabassum","given":"Hajera","non-dropping-particle":"","parse-names":false,"suffix":""},{"dropping-particle":"","family":"Fatima","given":"Sabiha","non-dropping-particle":"","parse-names":false,"suffix":""},{"dropping-particle":"","family":"Ali","given":"Mir Naiman","non-dropping-particle":"","parse-names":false,"suffix":""},{"dropping-particle":"","family":"Rizwana","given":"Humaira","non-dropping-particle":"","parse-names":false,"suffix":""},{"dropping-particle":"","family":"Khan","given":"Farah Aziz","non-dropping-particle":"","parse-names":false,"suffix":""}],"container-title":"International Journal of Pharmacology","id":"ITEM-3","issue":"8","issued":{"date-parts":[["2017"]]},"page":"990-999","title":"Ameliorating effect of Vitamin C against potassium dichromate induced oxidative stress and inflammatory response in rats","type":"article-journal","volume":"13"},"uris":["http://www.mendeley.com/documents/?uuid=3a64c4ad-ed8d-4c9a-9381-cfab82bb454f"]}],"mendeley":{"formattedCitation":"(Al Jameil et al., 2017; Elgawish &amp; Soliman, 2019; Khalil et al., 2019)","manualFormatting":"(Al Jameil et al. 2017; Elgawish et al., 2019; Khalil et al. 2019)","plainTextFormattedCitation":"(Al Jameil et al., 2017; Elgawish &amp; Soliman, 2019; Khalil et al., 2019)","previouslyFormattedCitation":"(Al Jameil et al., 2017; Elgawish &amp; Soliman, 2019; Khalil et al., 2019)"},"properties":{"noteIndex":0},"schema":"https://github.com/citation-style-language/schema/raw/master/csl-citation.json"}</w:instrText>
      </w:r>
      <w:r w:rsidR="00E67D31" w:rsidRPr="00E67D31">
        <w:rPr>
          <w:rFonts w:cs="Times New Roman"/>
          <w:b/>
          <w:bCs/>
          <w:sz w:val="24"/>
          <w:szCs w:val="24"/>
        </w:rPr>
        <w:fldChar w:fldCharType="separate"/>
      </w:r>
      <w:r w:rsidR="00E67D31" w:rsidRPr="00E67D31">
        <w:rPr>
          <w:rFonts w:cs="Times New Roman"/>
          <w:b/>
          <w:bCs/>
          <w:noProof/>
          <w:sz w:val="24"/>
          <w:szCs w:val="24"/>
        </w:rPr>
        <w:t xml:space="preserve">(Al Jameil </w:t>
      </w:r>
      <w:r w:rsidR="00E67D31" w:rsidRPr="00E67D31">
        <w:rPr>
          <w:rFonts w:cs="Times New Roman"/>
          <w:b/>
          <w:bCs/>
          <w:i/>
          <w:iCs/>
          <w:noProof/>
          <w:sz w:val="24"/>
          <w:szCs w:val="24"/>
        </w:rPr>
        <w:t>et al</w:t>
      </w:r>
      <w:r w:rsidR="00E67D31" w:rsidRPr="00E67D31">
        <w:rPr>
          <w:rFonts w:cs="Times New Roman"/>
          <w:b/>
          <w:bCs/>
          <w:noProof/>
          <w:sz w:val="24"/>
          <w:szCs w:val="24"/>
        </w:rPr>
        <w:t xml:space="preserve">. 2017; Elgawish </w:t>
      </w:r>
      <w:r w:rsidR="00E67D31" w:rsidRPr="00E67D31">
        <w:rPr>
          <w:rFonts w:cs="Times New Roman"/>
          <w:b/>
          <w:bCs/>
          <w:i/>
          <w:iCs/>
          <w:noProof/>
          <w:sz w:val="24"/>
          <w:szCs w:val="24"/>
        </w:rPr>
        <w:t>et al</w:t>
      </w:r>
      <w:r w:rsidR="00E67D31" w:rsidRPr="00E67D31">
        <w:rPr>
          <w:rFonts w:cs="Times New Roman"/>
          <w:b/>
          <w:bCs/>
          <w:noProof/>
          <w:sz w:val="24"/>
          <w:szCs w:val="24"/>
        </w:rPr>
        <w:t xml:space="preserve">., 2019; Khalil </w:t>
      </w:r>
      <w:r w:rsidR="00E67D31" w:rsidRPr="00E67D31">
        <w:rPr>
          <w:rFonts w:cs="Times New Roman"/>
          <w:b/>
          <w:bCs/>
          <w:i/>
          <w:iCs/>
          <w:noProof/>
          <w:sz w:val="24"/>
          <w:szCs w:val="24"/>
        </w:rPr>
        <w:t>et al</w:t>
      </w:r>
      <w:r w:rsidR="00E67D31" w:rsidRPr="00E67D31">
        <w:rPr>
          <w:rFonts w:cs="Times New Roman"/>
          <w:b/>
          <w:bCs/>
          <w:noProof/>
          <w:sz w:val="24"/>
          <w:szCs w:val="24"/>
        </w:rPr>
        <w:t>. 2019)</w:t>
      </w:r>
      <w:r w:rsidR="00E67D31" w:rsidRPr="00E67D31">
        <w:rPr>
          <w:rFonts w:cs="Times New Roman"/>
          <w:b/>
          <w:bCs/>
          <w:sz w:val="24"/>
          <w:szCs w:val="24"/>
        </w:rPr>
        <w:fldChar w:fldCharType="end"/>
      </w:r>
      <w:r w:rsidR="00E67D31" w:rsidRPr="00E67D31">
        <w:rPr>
          <w:rFonts w:cs="Times New Roman"/>
          <w:b/>
          <w:bCs/>
          <w:sz w:val="24"/>
          <w:szCs w:val="24"/>
        </w:rPr>
        <w:t>.</w:t>
      </w:r>
    </w:p>
    <w:p w14:paraId="798C2B24" w14:textId="0E631210" w:rsidR="00596444" w:rsidRDefault="000C0E99" w:rsidP="00FA6001">
      <w:pPr>
        <w:pStyle w:val="Normal14pt"/>
        <w:spacing w:line="360" w:lineRule="auto"/>
        <w:ind w:left="-450" w:firstLine="0"/>
        <w:jc w:val="both"/>
        <w:rPr>
          <w:rFonts w:asciiTheme="minorHAnsi" w:hAnsiTheme="minorHAnsi"/>
          <w:b/>
          <w:bCs/>
          <w:sz w:val="24"/>
          <w:szCs w:val="24"/>
        </w:rPr>
      </w:pPr>
      <w:r>
        <w:rPr>
          <w:rFonts w:asciiTheme="minorHAnsi" w:hAnsiTheme="minorHAnsi"/>
          <w:b/>
          <w:bCs/>
          <w:sz w:val="24"/>
          <w:szCs w:val="24"/>
        </w:rPr>
        <w:t xml:space="preserve">Conclusion </w:t>
      </w:r>
    </w:p>
    <w:p w14:paraId="51F64A51" w14:textId="075167F1" w:rsidR="005B6DEB" w:rsidRPr="005B6DEB" w:rsidRDefault="005B6DEB" w:rsidP="005B6DEB">
      <w:pPr>
        <w:pStyle w:val="Normal14pt"/>
        <w:spacing w:line="360" w:lineRule="auto"/>
        <w:ind w:left="-450"/>
        <w:jc w:val="both"/>
        <w:rPr>
          <w:rFonts w:asciiTheme="minorHAnsi" w:hAnsiTheme="minorHAnsi"/>
          <w:sz w:val="24"/>
          <w:szCs w:val="24"/>
        </w:rPr>
      </w:pPr>
      <w:r w:rsidRPr="005B6DEB">
        <w:rPr>
          <w:rFonts w:asciiTheme="minorHAnsi" w:hAnsiTheme="minorHAnsi"/>
          <w:sz w:val="24"/>
          <w:szCs w:val="24"/>
        </w:rPr>
        <w:t>The overall data indicated that FPN and/or K2Cr2O7 could induce severe tissue da-</w:t>
      </w:r>
    </w:p>
    <w:p w14:paraId="09B89B80" w14:textId="3284D6D5" w:rsidR="005B6DEB" w:rsidRPr="005B6DEB" w:rsidRDefault="005B6DEB" w:rsidP="005B6DEB">
      <w:pPr>
        <w:pStyle w:val="Normal14pt"/>
        <w:spacing w:line="360" w:lineRule="auto"/>
        <w:ind w:left="-450" w:firstLine="0"/>
        <w:jc w:val="both"/>
        <w:rPr>
          <w:rFonts w:asciiTheme="minorHAnsi" w:hAnsiTheme="minorHAnsi"/>
          <w:sz w:val="24"/>
          <w:szCs w:val="24"/>
        </w:rPr>
      </w:pPr>
      <w:r w:rsidRPr="005B6DEB">
        <w:rPr>
          <w:rFonts w:asciiTheme="minorHAnsi" w:hAnsiTheme="minorHAnsi"/>
          <w:sz w:val="24"/>
          <w:szCs w:val="24"/>
        </w:rPr>
        <w:t>mage in the liver mediated by oxidative stress and apoptotic mechanisms. TNF-α, and IL-6 which may contribute in liver injury.</w:t>
      </w:r>
    </w:p>
    <w:p w14:paraId="41120209" w14:textId="6AE4D8CD" w:rsidR="00A53CCE" w:rsidRPr="005B6DEB" w:rsidRDefault="00A53CCE" w:rsidP="00FA6001">
      <w:pPr>
        <w:pStyle w:val="Normal14pt"/>
        <w:spacing w:line="360" w:lineRule="auto"/>
        <w:ind w:left="-450" w:firstLine="0"/>
        <w:jc w:val="both"/>
        <w:rPr>
          <w:rFonts w:asciiTheme="minorHAnsi" w:hAnsiTheme="minorHAnsi"/>
        </w:rPr>
      </w:pPr>
    </w:p>
    <w:p w14:paraId="72056CFD" w14:textId="297B5017" w:rsidR="005B6DEB" w:rsidRDefault="005B6DEB" w:rsidP="005B6DEB">
      <w:pPr>
        <w:pStyle w:val="Normal14pt"/>
        <w:spacing w:line="360" w:lineRule="auto"/>
        <w:ind w:left="-450" w:firstLine="0"/>
        <w:jc w:val="both"/>
        <w:rPr>
          <w:rFonts w:asciiTheme="minorHAnsi" w:hAnsiTheme="minorHAnsi"/>
          <w:sz w:val="24"/>
          <w:szCs w:val="24"/>
        </w:rPr>
      </w:pPr>
      <w:r>
        <w:rPr>
          <w:rFonts w:asciiTheme="minorHAnsi" w:hAnsiTheme="minorHAnsi"/>
          <w:sz w:val="24"/>
          <w:szCs w:val="24"/>
        </w:rPr>
        <w:t xml:space="preserve">Reference </w:t>
      </w:r>
    </w:p>
    <w:p w14:paraId="5CB62027" w14:textId="691D147F"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C9293B">
        <w:rPr>
          <w:rFonts w:ascii="Calibri" w:hAnsi="Calibri" w:cs="Calibri"/>
          <w:noProof/>
          <w:sz w:val="24"/>
          <w:szCs w:val="24"/>
        </w:rPr>
        <w:t xml:space="preserve">Abdel-daim, M. M., &amp; Abdeen, A. (2018). Protective e ff ects of rosuvastatin and vitamin E against fi pronil-mediated oxidative damage and apoptosis in rat liver and kidney. </w:t>
      </w:r>
      <w:r w:rsidRPr="00C9293B">
        <w:rPr>
          <w:rFonts w:ascii="Calibri" w:hAnsi="Calibri" w:cs="Calibri"/>
          <w:i/>
          <w:iCs/>
          <w:noProof/>
          <w:sz w:val="24"/>
          <w:szCs w:val="24"/>
        </w:rPr>
        <w:t>Food and Chemical Toxicology</w:t>
      </w:r>
      <w:r w:rsidRPr="00C9293B">
        <w:rPr>
          <w:rFonts w:ascii="Calibri" w:hAnsi="Calibri" w:cs="Calibri"/>
          <w:noProof/>
          <w:sz w:val="24"/>
          <w:szCs w:val="24"/>
        </w:rPr>
        <w:t xml:space="preserve">, </w:t>
      </w:r>
      <w:r w:rsidRPr="00C9293B">
        <w:rPr>
          <w:rFonts w:ascii="Calibri" w:hAnsi="Calibri" w:cs="Calibri"/>
          <w:i/>
          <w:iCs/>
          <w:noProof/>
          <w:sz w:val="24"/>
          <w:szCs w:val="24"/>
        </w:rPr>
        <w:t>114</w:t>
      </w:r>
      <w:r w:rsidRPr="00C9293B">
        <w:rPr>
          <w:rFonts w:ascii="Calibri" w:hAnsi="Calibri" w:cs="Calibri"/>
          <w:noProof/>
          <w:sz w:val="24"/>
          <w:szCs w:val="24"/>
        </w:rPr>
        <w:t>(February), 69–77. https://doi.org/10.1016/j.fct.2018.01.055</w:t>
      </w:r>
    </w:p>
    <w:p w14:paraId="51FC6F3A"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Abdel-daim, M. M., Dessouki, A. A., Abdel-rahman, H. G., Eltaysh, R., &amp; Alkahtani, S. (2019). Science of the Total Environment Hepatorenal protective effects of taurine and N -acetylcysteine against fi pronil-induced injuries : The antioxidant status and apoptotic markers expression in rats. </w:t>
      </w:r>
      <w:r w:rsidRPr="00C9293B">
        <w:rPr>
          <w:rFonts w:ascii="Calibri" w:hAnsi="Calibri" w:cs="Calibri"/>
          <w:i/>
          <w:iCs/>
          <w:noProof/>
          <w:sz w:val="24"/>
          <w:szCs w:val="24"/>
        </w:rPr>
        <w:t>Science of the Total Environment</w:t>
      </w:r>
      <w:r w:rsidRPr="00C9293B">
        <w:rPr>
          <w:rFonts w:ascii="Calibri" w:hAnsi="Calibri" w:cs="Calibri"/>
          <w:noProof/>
          <w:sz w:val="24"/>
          <w:szCs w:val="24"/>
        </w:rPr>
        <w:t xml:space="preserve">, </w:t>
      </w:r>
      <w:r w:rsidRPr="00C9293B">
        <w:rPr>
          <w:rFonts w:ascii="Calibri" w:hAnsi="Calibri" w:cs="Calibri"/>
          <w:i/>
          <w:iCs/>
          <w:noProof/>
          <w:sz w:val="24"/>
          <w:szCs w:val="24"/>
        </w:rPr>
        <w:t>650</w:t>
      </w:r>
      <w:r w:rsidRPr="00C9293B">
        <w:rPr>
          <w:rFonts w:ascii="Calibri" w:hAnsi="Calibri" w:cs="Calibri"/>
          <w:noProof/>
          <w:sz w:val="24"/>
          <w:szCs w:val="24"/>
        </w:rPr>
        <w:t>, 2063–2073. https://doi.org/10.1016/j.scitotenv.2018.09.313</w:t>
      </w:r>
    </w:p>
    <w:p w14:paraId="5C43F5F6"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Ackerley, D. F., Gonzalez, C. F., Keyhan, M., Blake, R., &amp; Matin, A. (2004). Mechanism of chromate reduction by the Escherichia coli protein, NfsA, and the role of different chromate reductases in minimizing oxidative stress during chromate reduction. </w:t>
      </w:r>
      <w:r w:rsidRPr="00C9293B">
        <w:rPr>
          <w:rFonts w:ascii="Calibri" w:hAnsi="Calibri" w:cs="Calibri"/>
          <w:i/>
          <w:iCs/>
          <w:noProof/>
          <w:sz w:val="24"/>
          <w:szCs w:val="24"/>
        </w:rPr>
        <w:t>Environmental Microbiology</w:t>
      </w:r>
      <w:r w:rsidRPr="00C9293B">
        <w:rPr>
          <w:rFonts w:ascii="Calibri" w:hAnsi="Calibri" w:cs="Calibri"/>
          <w:noProof/>
          <w:sz w:val="24"/>
          <w:szCs w:val="24"/>
        </w:rPr>
        <w:t xml:space="preserve">, </w:t>
      </w:r>
      <w:r w:rsidRPr="00C9293B">
        <w:rPr>
          <w:rFonts w:ascii="Calibri" w:hAnsi="Calibri" w:cs="Calibri"/>
          <w:i/>
          <w:iCs/>
          <w:noProof/>
          <w:sz w:val="24"/>
          <w:szCs w:val="24"/>
        </w:rPr>
        <w:t>6</w:t>
      </w:r>
      <w:r w:rsidRPr="00C9293B">
        <w:rPr>
          <w:rFonts w:ascii="Calibri" w:hAnsi="Calibri" w:cs="Calibri"/>
          <w:noProof/>
          <w:sz w:val="24"/>
          <w:szCs w:val="24"/>
        </w:rPr>
        <w:t>(8), 851–860. https://doi.org/10.1111/j.1462-2920.2004.00639.x</w:t>
      </w:r>
    </w:p>
    <w:p w14:paraId="363FBBCE"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Al Jameil, N., Tabassum, H., Fatima, S., Ali, M. N., Rizwana, H., &amp; Khan, F. A. (2017). Ameliorating effect of Vitamin C against potassium dichromate induced oxidative stress and </w:t>
      </w:r>
      <w:r w:rsidRPr="00C9293B">
        <w:rPr>
          <w:rFonts w:ascii="Calibri" w:hAnsi="Calibri" w:cs="Calibri"/>
          <w:noProof/>
          <w:sz w:val="24"/>
          <w:szCs w:val="24"/>
        </w:rPr>
        <w:lastRenderedPageBreak/>
        <w:t xml:space="preserve">inflammatory response in rats. </w:t>
      </w:r>
      <w:r w:rsidRPr="00C9293B">
        <w:rPr>
          <w:rFonts w:ascii="Calibri" w:hAnsi="Calibri" w:cs="Calibri"/>
          <w:i/>
          <w:iCs/>
          <w:noProof/>
          <w:sz w:val="24"/>
          <w:szCs w:val="24"/>
        </w:rPr>
        <w:t>International Journal of Pharmacology</w:t>
      </w:r>
      <w:r w:rsidRPr="00C9293B">
        <w:rPr>
          <w:rFonts w:ascii="Calibri" w:hAnsi="Calibri" w:cs="Calibri"/>
          <w:noProof/>
          <w:sz w:val="24"/>
          <w:szCs w:val="24"/>
        </w:rPr>
        <w:t xml:space="preserve">, </w:t>
      </w:r>
      <w:r w:rsidRPr="00C9293B">
        <w:rPr>
          <w:rFonts w:ascii="Calibri" w:hAnsi="Calibri" w:cs="Calibri"/>
          <w:i/>
          <w:iCs/>
          <w:noProof/>
          <w:sz w:val="24"/>
          <w:szCs w:val="24"/>
        </w:rPr>
        <w:t>13</w:t>
      </w:r>
      <w:r w:rsidRPr="00C9293B">
        <w:rPr>
          <w:rFonts w:ascii="Calibri" w:hAnsi="Calibri" w:cs="Calibri"/>
          <w:noProof/>
          <w:sz w:val="24"/>
          <w:szCs w:val="24"/>
        </w:rPr>
        <w:t>(8), 990–999. https://doi.org/10.3923/ijp.2017.990.999</w:t>
      </w:r>
    </w:p>
    <w:p w14:paraId="461494B8"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Albasher, G., &amp; Abdel-daim, M. M. (2019). Synergistic antioxidant effects of resveratrol and curcumin against fipronil-triggered oxidative damage in male albino rats.</w:t>
      </w:r>
    </w:p>
    <w:p w14:paraId="1E9A2A3E"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Avery, S. V. V. (2011). Molecular targets of oxidative stress. </w:t>
      </w:r>
      <w:r w:rsidRPr="00C9293B">
        <w:rPr>
          <w:rFonts w:ascii="Calibri" w:hAnsi="Calibri" w:cs="Calibri"/>
          <w:i/>
          <w:iCs/>
          <w:noProof/>
          <w:sz w:val="24"/>
          <w:szCs w:val="24"/>
        </w:rPr>
        <w:t>Biochemical Journal</w:t>
      </w:r>
      <w:r w:rsidRPr="00C9293B">
        <w:rPr>
          <w:rFonts w:ascii="Calibri" w:hAnsi="Calibri" w:cs="Calibri"/>
          <w:noProof/>
          <w:sz w:val="24"/>
          <w:szCs w:val="24"/>
        </w:rPr>
        <w:t xml:space="preserve">, </w:t>
      </w:r>
      <w:r w:rsidRPr="00C9293B">
        <w:rPr>
          <w:rFonts w:ascii="Calibri" w:hAnsi="Calibri" w:cs="Calibri"/>
          <w:i/>
          <w:iCs/>
          <w:noProof/>
          <w:sz w:val="24"/>
          <w:szCs w:val="24"/>
        </w:rPr>
        <w:t>434</w:t>
      </w:r>
      <w:r w:rsidRPr="00C9293B">
        <w:rPr>
          <w:rFonts w:ascii="Calibri" w:hAnsi="Calibri" w:cs="Calibri"/>
          <w:noProof/>
          <w:sz w:val="24"/>
          <w:szCs w:val="24"/>
        </w:rPr>
        <w:t>(2), 201–210. https://doi.org/10.1042/BJ20101695</w:t>
      </w:r>
    </w:p>
    <w:p w14:paraId="1B53465F"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Badgujar, P. C., Pawar, N. N., Chandratre, G. A., Telang, A. G., &amp; Sharma, A. K. (2015). Fipronil induced oxidative stress in kidney and brain of mice: Protective effect of vitamin E and vitamin C. </w:t>
      </w:r>
      <w:r w:rsidRPr="00C9293B">
        <w:rPr>
          <w:rFonts w:ascii="Calibri" w:hAnsi="Calibri" w:cs="Calibri"/>
          <w:i/>
          <w:iCs/>
          <w:noProof/>
          <w:sz w:val="24"/>
          <w:szCs w:val="24"/>
        </w:rPr>
        <w:t>Pesticide Biochemistry and Physiology</w:t>
      </w:r>
      <w:r w:rsidRPr="00C9293B">
        <w:rPr>
          <w:rFonts w:ascii="Calibri" w:hAnsi="Calibri" w:cs="Calibri"/>
          <w:noProof/>
          <w:sz w:val="24"/>
          <w:szCs w:val="24"/>
        </w:rPr>
        <w:t xml:space="preserve">, </w:t>
      </w:r>
      <w:r w:rsidRPr="00C9293B">
        <w:rPr>
          <w:rFonts w:ascii="Calibri" w:hAnsi="Calibri" w:cs="Calibri"/>
          <w:i/>
          <w:iCs/>
          <w:noProof/>
          <w:sz w:val="24"/>
          <w:szCs w:val="24"/>
        </w:rPr>
        <w:t>118</w:t>
      </w:r>
      <w:r w:rsidRPr="00C9293B">
        <w:rPr>
          <w:rFonts w:ascii="Calibri" w:hAnsi="Calibri" w:cs="Calibri"/>
          <w:noProof/>
          <w:sz w:val="24"/>
          <w:szCs w:val="24"/>
        </w:rPr>
        <w:t>, 10–18. https://doi.org/10.1016/j.pestbp.2014.10.013</w:t>
      </w:r>
    </w:p>
    <w:p w14:paraId="64BF66AD"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Ben Hamida, F., Troudi, A., Sefi, M., Boudawara, T., &amp; Zeghal, N. (2016). The protective effect of propylthiouracil against hepatotoxicity induced by chromium in adult mice. </w:t>
      </w:r>
      <w:r w:rsidRPr="00C9293B">
        <w:rPr>
          <w:rFonts w:ascii="Calibri" w:hAnsi="Calibri" w:cs="Calibri"/>
          <w:i/>
          <w:iCs/>
          <w:noProof/>
          <w:sz w:val="24"/>
          <w:szCs w:val="24"/>
        </w:rPr>
        <w:t>Toxicology and Industrial Health</w:t>
      </w:r>
      <w:r w:rsidRPr="00C9293B">
        <w:rPr>
          <w:rFonts w:ascii="Calibri" w:hAnsi="Calibri" w:cs="Calibri"/>
          <w:noProof/>
          <w:sz w:val="24"/>
          <w:szCs w:val="24"/>
        </w:rPr>
        <w:t xml:space="preserve">, </w:t>
      </w:r>
      <w:r w:rsidRPr="00C9293B">
        <w:rPr>
          <w:rFonts w:ascii="Calibri" w:hAnsi="Calibri" w:cs="Calibri"/>
          <w:i/>
          <w:iCs/>
          <w:noProof/>
          <w:sz w:val="24"/>
          <w:szCs w:val="24"/>
        </w:rPr>
        <w:t>32</w:t>
      </w:r>
      <w:r w:rsidRPr="00C9293B">
        <w:rPr>
          <w:rFonts w:ascii="Calibri" w:hAnsi="Calibri" w:cs="Calibri"/>
          <w:noProof/>
          <w:sz w:val="24"/>
          <w:szCs w:val="24"/>
        </w:rPr>
        <w:t>(2), 235–245. https://doi.org/10.1177/0748233713498446</w:t>
      </w:r>
    </w:p>
    <w:p w14:paraId="1DD2F595"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Boşgelmez, I. İ., &amp; Güvendik, G. (2019). Beneficial Effects of N-Acetyl-L-cysteine or Taurine Pre- or Post-treatments in the Heart, Spleen, Lung, and Testis of Hexavalent Chromium-Exposed Mice. </w:t>
      </w:r>
      <w:r w:rsidRPr="00C9293B">
        <w:rPr>
          <w:rFonts w:ascii="Calibri" w:hAnsi="Calibri" w:cs="Calibri"/>
          <w:i/>
          <w:iCs/>
          <w:noProof/>
          <w:sz w:val="24"/>
          <w:szCs w:val="24"/>
        </w:rPr>
        <w:t>Biological Trace Element Research</w:t>
      </w:r>
      <w:r w:rsidRPr="00C9293B">
        <w:rPr>
          <w:rFonts w:ascii="Calibri" w:hAnsi="Calibri" w:cs="Calibri"/>
          <w:noProof/>
          <w:sz w:val="24"/>
          <w:szCs w:val="24"/>
        </w:rPr>
        <w:t xml:space="preserve">, </w:t>
      </w:r>
      <w:r w:rsidRPr="00C9293B">
        <w:rPr>
          <w:rFonts w:ascii="Calibri" w:hAnsi="Calibri" w:cs="Calibri"/>
          <w:i/>
          <w:iCs/>
          <w:noProof/>
          <w:sz w:val="24"/>
          <w:szCs w:val="24"/>
        </w:rPr>
        <w:t>190</w:t>
      </w:r>
      <w:r w:rsidRPr="00C9293B">
        <w:rPr>
          <w:rFonts w:ascii="Calibri" w:hAnsi="Calibri" w:cs="Calibri"/>
          <w:noProof/>
          <w:sz w:val="24"/>
          <w:szCs w:val="24"/>
        </w:rPr>
        <w:t>(2), 437–445. https://doi.org/10.1007/s12011-018-1571-z</w:t>
      </w:r>
    </w:p>
    <w:p w14:paraId="41241CD6"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Costa, H. M. F. da, Rodrigues, R. C. S., Mattos, M. da G. C. de, &amp; Ribeiro, R. F. (2003). Evaluation of the adaptation interface of one-piece implant-supported superstructures obtained in Ni-Cr-Ti and Pd-Ag alloys. </w:t>
      </w:r>
      <w:r w:rsidRPr="00C9293B">
        <w:rPr>
          <w:rFonts w:ascii="Calibri" w:hAnsi="Calibri" w:cs="Calibri"/>
          <w:i/>
          <w:iCs/>
          <w:noProof/>
          <w:sz w:val="24"/>
          <w:szCs w:val="24"/>
        </w:rPr>
        <w:t>Brazilian Dental Journal</w:t>
      </w:r>
      <w:r w:rsidRPr="00C9293B">
        <w:rPr>
          <w:rFonts w:ascii="Calibri" w:hAnsi="Calibri" w:cs="Calibri"/>
          <w:noProof/>
          <w:sz w:val="24"/>
          <w:szCs w:val="24"/>
        </w:rPr>
        <w:t xml:space="preserve">, </w:t>
      </w:r>
      <w:r w:rsidRPr="00C9293B">
        <w:rPr>
          <w:rFonts w:ascii="Calibri" w:hAnsi="Calibri" w:cs="Calibri"/>
          <w:i/>
          <w:iCs/>
          <w:noProof/>
          <w:sz w:val="24"/>
          <w:szCs w:val="24"/>
        </w:rPr>
        <w:t>14</w:t>
      </w:r>
      <w:r w:rsidRPr="00C9293B">
        <w:rPr>
          <w:rFonts w:ascii="Calibri" w:hAnsi="Calibri" w:cs="Calibri"/>
          <w:noProof/>
          <w:sz w:val="24"/>
          <w:szCs w:val="24"/>
        </w:rPr>
        <w:t>(3), 197–202. https://doi.org/10.1590/s0103-64402003000300011</w:t>
      </w:r>
    </w:p>
    <w:p w14:paraId="21731111"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Costa, M., &amp; Klein, C. B. (2006). Toxicity and carcinogenicity of chromium compounds in humans. </w:t>
      </w:r>
      <w:r w:rsidRPr="00C9293B">
        <w:rPr>
          <w:rFonts w:ascii="Calibri" w:hAnsi="Calibri" w:cs="Calibri"/>
          <w:i/>
          <w:iCs/>
          <w:noProof/>
          <w:sz w:val="24"/>
          <w:szCs w:val="24"/>
        </w:rPr>
        <w:t>Critical Reviews in Toxicology</w:t>
      </w:r>
      <w:r w:rsidRPr="00C9293B">
        <w:rPr>
          <w:rFonts w:ascii="Calibri" w:hAnsi="Calibri" w:cs="Calibri"/>
          <w:noProof/>
          <w:sz w:val="24"/>
          <w:szCs w:val="24"/>
        </w:rPr>
        <w:t xml:space="preserve">, </w:t>
      </w:r>
      <w:r w:rsidRPr="00C9293B">
        <w:rPr>
          <w:rFonts w:ascii="Calibri" w:hAnsi="Calibri" w:cs="Calibri"/>
          <w:i/>
          <w:iCs/>
          <w:noProof/>
          <w:sz w:val="24"/>
          <w:szCs w:val="24"/>
        </w:rPr>
        <w:t>36</w:t>
      </w:r>
      <w:r w:rsidRPr="00C9293B">
        <w:rPr>
          <w:rFonts w:ascii="Calibri" w:hAnsi="Calibri" w:cs="Calibri"/>
          <w:noProof/>
          <w:sz w:val="24"/>
          <w:szCs w:val="24"/>
        </w:rPr>
        <w:t>(2), 155–163. https://doi.org/10.1080/10408440500534032</w:t>
      </w:r>
    </w:p>
    <w:p w14:paraId="56626C0D"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Das, P. C., Cao, Y., Cherrington, N., Hodgson, E., &amp; Rose, R. L. (2006). Fipronil induces CYP isoforms and cytotoxicity in human hepatocytes, </w:t>
      </w:r>
      <w:r w:rsidRPr="00C9293B">
        <w:rPr>
          <w:rFonts w:ascii="Calibri" w:hAnsi="Calibri" w:cs="Calibri"/>
          <w:i/>
          <w:iCs/>
          <w:noProof/>
          <w:sz w:val="24"/>
          <w:szCs w:val="24"/>
        </w:rPr>
        <w:t>164</w:t>
      </w:r>
      <w:r w:rsidRPr="00C9293B">
        <w:rPr>
          <w:rFonts w:ascii="Calibri" w:hAnsi="Calibri" w:cs="Calibri"/>
          <w:noProof/>
          <w:sz w:val="24"/>
          <w:szCs w:val="24"/>
        </w:rPr>
        <w:t>(May), 200–214. https://doi.org/10.1016/j.cbi.2006.09.013</w:t>
      </w:r>
    </w:p>
    <w:p w14:paraId="18D81561"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Dasari, S., &amp; Bernard Tchounwou, P. (2014). Cisplatin in cancer therapy: Molecular mechanisms of action. </w:t>
      </w:r>
      <w:r w:rsidRPr="00C9293B">
        <w:rPr>
          <w:rFonts w:ascii="Calibri" w:hAnsi="Calibri" w:cs="Calibri"/>
          <w:i/>
          <w:iCs/>
          <w:noProof/>
          <w:sz w:val="24"/>
          <w:szCs w:val="24"/>
        </w:rPr>
        <w:t>European Journal of Pharmacology</w:t>
      </w:r>
      <w:r w:rsidRPr="00C9293B">
        <w:rPr>
          <w:rFonts w:ascii="Calibri" w:hAnsi="Calibri" w:cs="Calibri"/>
          <w:noProof/>
          <w:sz w:val="24"/>
          <w:szCs w:val="24"/>
        </w:rPr>
        <w:t xml:space="preserve">. </w:t>
      </w:r>
      <w:r w:rsidRPr="00C9293B">
        <w:rPr>
          <w:rFonts w:ascii="Calibri" w:hAnsi="Calibri" w:cs="Calibri"/>
          <w:noProof/>
          <w:sz w:val="24"/>
          <w:szCs w:val="24"/>
        </w:rPr>
        <w:lastRenderedPageBreak/>
        <w:t>https://doi.org/10.1016/j.ejphar.2014.07.025</w:t>
      </w:r>
    </w:p>
    <w:p w14:paraId="34B8D7DF"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Elgawish, R. A., &amp; Soliman, M. T. A. (2019). Hepatoprotective activity of Uncaria tomentosa extract against sub-chronic exposure to fipronil in male rats, 199–207.</w:t>
      </w:r>
    </w:p>
    <w:p w14:paraId="323E513E"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Elmarakby, A. A., &amp; Sullivan, J. C. (2012). Relationship between oxidative stress and inflammatory cytokines in diabetic nephropathy. </w:t>
      </w:r>
      <w:r w:rsidRPr="00C9293B">
        <w:rPr>
          <w:rFonts w:ascii="Calibri" w:hAnsi="Calibri" w:cs="Calibri"/>
          <w:i/>
          <w:iCs/>
          <w:noProof/>
          <w:sz w:val="24"/>
          <w:szCs w:val="24"/>
        </w:rPr>
        <w:t>Cardiovascular Therapeutics</w:t>
      </w:r>
      <w:r w:rsidRPr="00C9293B">
        <w:rPr>
          <w:rFonts w:ascii="Calibri" w:hAnsi="Calibri" w:cs="Calibri"/>
          <w:noProof/>
          <w:sz w:val="24"/>
          <w:szCs w:val="24"/>
        </w:rPr>
        <w:t xml:space="preserve">, </w:t>
      </w:r>
      <w:r w:rsidRPr="00C9293B">
        <w:rPr>
          <w:rFonts w:ascii="Calibri" w:hAnsi="Calibri" w:cs="Calibri"/>
          <w:i/>
          <w:iCs/>
          <w:noProof/>
          <w:sz w:val="24"/>
          <w:szCs w:val="24"/>
        </w:rPr>
        <w:t>30</w:t>
      </w:r>
      <w:r w:rsidRPr="00C9293B">
        <w:rPr>
          <w:rFonts w:ascii="Calibri" w:hAnsi="Calibri" w:cs="Calibri"/>
          <w:noProof/>
          <w:sz w:val="24"/>
          <w:szCs w:val="24"/>
        </w:rPr>
        <w:t>(1), 49–59. https://doi.org/10.1111/j.1755-5922.2010.00218.x</w:t>
      </w:r>
    </w:p>
    <w:p w14:paraId="1BBF7917"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Fatima, S., Arivarasu, N. A., Banday, A. A., Yusufi, A. N. K., &amp; Mahmood, R. (2005). Effect of potassium dichromate on renal brush border membrane enzymes and phosphate transport in rats. </w:t>
      </w:r>
      <w:r w:rsidRPr="00C9293B">
        <w:rPr>
          <w:rFonts w:ascii="Calibri" w:hAnsi="Calibri" w:cs="Calibri"/>
          <w:i/>
          <w:iCs/>
          <w:noProof/>
          <w:sz w:val="24"/>
          <w:szCs w:val="24"/>
        </w:rPr>
        <w:t>Human and Experimental Toxicology</w:t>
      </w:r>
      <w:r w:rsidRPr="00C9293B">
        <w:rPr>
          <w:rFonts w:ascii="Calibri" w:hAnsi="Calibri" w:cs="Calibri"/>
          <w:noProof/>
          <w:sz w:val="24"/>
          <w:szCs w:val="24"/>
        </w:rPr>
        <w:t xml:space="preserve">, </w:t>
      </w:r>
      <w:r w:rsidRPr="00C9293B">
        <w:rPr>
          <w:rFonts w:ascii="Calibri" w:hAnsi="Calibri" w:cs="Calibri"/>
          <w:i/>
          <w:iCs/>
          <w:noProof/>
          <w:sz w:val="24"/>
          <w:szCs w:val="24"/>
        </w:rPr>
        <w:t>24</w:t>
      </w:r>
      <w:r w:rsidRPr="00C9293B">
        <w:rPr>
          <w:rFonts w:ascii="Calibri" w:hAnsi="Calibri" w:cs="Calibri"/>
          <w:noProof/>
          <w:sz w:val="24"/>
          <w:szCs w:val="24"/>
        </w:rPr>
        <w:t>(12), 631–638. https://doi.org/10.1191/0960327105ht585oa</w:t>
      </w:r>
    </w:p>
    <w:p w14:paraId="1B95185C"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Ferreira, M., De Oliveira, P. R., Denardi, S. E., Bechara, G. H., &amp; Mathias, M. I. C. (2012). Action of the chemical agent fipronil (active ingredient of acaricide Frontline®) on the liver of mice: An ultrastructural analysis. </w:t>
      </w:r>
      <w:r w:rsidRPr="00C9293B">
        <w:rPr>
          <w:rFonts w:ascii="Calibri" w:hAnsi="Calibri" w:cs="Calibri"/>
          <w:i/>
          <w:iCs/>
          <w:noProof/>
          <w:sz w:val="24"/>
          <w:szCs w:val="24"/>
        </w:rPr>
        <w:t>Microscopy Research and Technique</w:t>
      </w:r>
      <w:r w:rsidRPr="00C9293B">
        <w:rPr>
          <w:rFonts w:ascii="Calibri" w:hAnsi="Calibri" w:cs="Calibri"/>
          <w:noProof/>
          <w:sz w:val="24"/>
          <w:szCs w:val="24"/>
        </w:rPr>
        <w:t xml:space="preserve">, </w:t>
      </w:r>
      <w:r w:rsidRPr="00C9293B">
        <w:rPr>
          <w:rFonts w:ascii="Calibri" w:hAnsi="Calibri" w:cs="Calibri"/>
          <w:i/>
          <w:iCs/>
          <w:noProof/>
          <w:sz w:val="24"/>
          <w:szCs w:val="24"/>
        </w:rPr>
        <w:t>75</w:t>
      </w:r>
      <w:r w:rsidRPr="00C9293B">
        <w:rPr>
          <w:rFonts w:ascii="Calibri" w:hAnsi="Calibri" w:cs="Calibri"/>
          <w:noProof/>
          <w:sz w:val="24"/>
          <w:szCs w:val="24"/>
        </w:rPr>
        <w:t>(2), 197–205. https://doi.org/10.1002/jemt.21043</w:t>
      </w:r>
    </w:p>
    <w:p w14:paraId="41D45352"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Gallinelli, A., Nicoli, A., Capodanno, F., Valli, B., Facchinetti, F., &amp; La Sala, G. B. (2009). Nitric oxide as an early marker of human embryo metabolic cleavage in ART using fresh or thawed oocytes. </w:t>
      </w:r>
      <w:r w:rsidRPr="00C9293B">
        <w:rPr>
          <w:rFonts w:ascii="Calibri" w:hAnsi="Calibri" w:cs="Calibri"/>
          <w:i/>
          <w:iCs/>
          <w:noProof/>
          <w:sz w:val="24"/>
          <w:szCs w:val="24"/>
        </w:rPr>
        <w:t>European Journal of Obstetrics and Gynecology and Reproductive Biology</w:t>
      </w:r>
      <w:r w:rsidRPr="00C9293B">
        <w:rPr>
          <w:rFonts w:ascii="Calibri" w:hAnsi="Calibri" w:cs="Calibri"/>
          <w:noProof/>
          <w:sz w:val="24"/>
          <w:szCs w:val="24"/>
        </w:rPr>
        <w:t xml:space="preserve">, </w:t>
      </w:r>
      <w:r w:rsidRPr="00C9293B">
        <w:rPr>
          <w:rFonts w:ascii="Calibri" w:hAnsi="Calibri" w:cs="Calibri"/>
          <w:i/>
          <w:iCs/>
          <w:noProof/>
          <w:sz w:val="24"/>
          <w:szCs w:val="24"/>
        </w:rPr>
        <w:t>142</w:t>
      </w:r>
      <w:r w:rsidRPr="00C9293B">
        <w:rPr>
          <w:rFonts w:ascii="Calibri" w:hAnsi="Calibri" w:cs="Calibri"/>
          <w:noProof/>
          <w:sz w:val="24"/>
          <w:szCs w:val="24"/>
        </w:rPr>
        <w:t>(1), 48–52. https://doi.org/10.1016/j.ejogrb.2008.09.005</w:t>
      </w:r>
    </w:p>
    <w:p w14:paraId="098D38B9"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Gornall , A.G.; Badawill , David, M. . (1949). August 2, 1943: </w:t>
      </w:r>
      <w:r w:rsidRPr="00C9293B">
        <w:rPr>
          <w:rFonts w:ascii="Calibri" w:hAnsi="Calibri" w:cs="Calibri"/>
          <w:i/>
          <w:iCs/>
          <w:noProof/>
          <w:sz w:val="24"/>
          <w:szCs w:val="24"/>
        </w:rPr>
        <w:t>The Operation Reinhard Death Camps, Revised and Expanded Edition</w:t>
      </w:r>
      <w:r w:rsidRPr="00C9293B">
        <w:rPr>
          <w:rFonts w:ascii="Calibri" w:hAnsi="Calibri" w:cs="Calibri"/>
          <w:noProof/>
          <w:sz w:val="24"/>
          <w:szCs w:val="24"/>
        </w:rPr>
        <w:t>, (11), 334–343. https://doi.org/10.2307/j.ctv3dnq8z.41</w:t>
      </w:r>
    </w:p>
    <w:p w14:paraId="09C5D313"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Hogson, E. and Levi, P. . (2004). </w:t>
      </w:r>
      <w:r w:rsidRPr="00C9293B">
        <w:rPr>
          <w:rFonts w:ascii="Calibri" w:hAnsi="Calibri" w:cs="Calibri"/>
          <w:i/>
          <w:iCs/>
          <w:noProof/>
          <w:sz w:val="24"/>
          <w:szCs w:val="24"/>
        </w:rPr>
        <w:t>A TEXTBOOK OF MODERN TOXICOLOGY Edited by</w:t>
      </w:r>
      <w:r w:rsidRPr="00C9293B">
        <w:rPr>
          <w:rFonts w:ascii="Calibri" w:hAnsi="Calibri" w:cs="Calibri"/>
          <w:noProof/>
          <w:sz w:val="24"/>
          <w:szCs w:val="24"/>
        </w:rPr>
        <w:t>.</w:t>
      </w:r>
    </w:p>
    <w:p w14:paraId="053F266B"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Jabłońska-Trypuć  Agata A4  - Wołejko, Elżbieta A4  - Wydro, Urszula A4  - Butarewicz, Andrzej, A. A.-J.-T. (2017). The impact of pesticides on oxidative stress level in human organism and their activity as an endocrine disruptor Part B Pesticides, food contaminants, and agricultural wastes. </w:t>
      </w:r>
      <w:r w:rsidRPr="00C9293B">
        <w:rPr>
          <w:rFonts w:ascii="Calibri" w:hAnsi="Calibri" w:cs="Calibri"/>
          <w:i/>
          <w:iCs/>
          <w:noProof/>
          <w:sz w:val="24"/>
          <w:szCs w:val="24"/>
        </w:rPr>
        <w:t>Journal of Environmental Science and Health</w:t>
      </w:r>
      <w:r w:rsidRPr="00C9293B">
        <w:rPr>
          <w:rFonts w:ascii="Calibri" w:hAnsi="Calibri" w:cs="Calibri"/>
          <w:noProof/>
          <w:sz w:val="24"/>
          <w:szCs w:val="24"/>
        </w:rPr>
        <w:t xml:space="preserve">, </w:t>
      </w:r>
      <w:r w:rsidRPr="00C9293B">
        <w:rPr>
          <w:rFonts w:ascii="Calibri" w:hAnsi="Calibri" w:cs="Calibri"/>
          <w:i/>
          <w:iCs/>
          <w:noProof/>
          <w:sz w:val="24"/>
          <w:szCs w:val="24"/>
        </w:rPr>
        <w:t>v. 52</w:t>
      </w:r>
      <w:r w:rsidRPr="00C9293B">
        <w:rPr>
          <w:rFonts w:ascii="Calibri" w:hAnsi="Calibri" w:cs="Calibri"/>
          <w:noProof/>
          <w:sz w:val="24"/>
          <w:szCs w:val="24"/>
        </w:rPr>
        <w:t>(7), 483-494–2017 v.52 no.7. https://doi.org/10.1080/03601234.2017.1303322</w:t>
      </w:r>
    </w:p>
    <w:p w14:paraId="62B19848"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Kanwal, Z., Muhammad, I.S., Muhammad, A. . (2012). Effect of Momordica charantia (bitter melon) on serum glucose level and various protein parameters in acetaminophen </w:t>
      </w:r>
      <w:r w:rsidRPr="00C9293B">
        <w:rPr>
          <w:rFonts w:ascii="Calibri" w:hAnsi="Calibri" w:cs="Calibri"/>
          <w:noProof/>
          <w:sz w:val="24"/>
          <w:szCs w:val="24"/>
        </w:rPr>
        <w:lastRenderedPageBreak/>
        <w:t xml:space="preserve">intoxicated rabbits. </w:t>
      </w:r>
      <w:r w:rsidRPr="00C9293B">
        <w:rPr>
          <w:rFonts w:ascii="Calibri" w:hAnsi="Calibri" w:cs="Calibri"/>
          <w:i/>
          <w:iCs/>
          <w:noProof/>
          <w:sz w:val="24"/>
          <w:szCs w:val="24"/>
        </w:rPr>
        <w:t>Journal of Intercultural Ethnopharmacology</w:t>
      </w:r>
      <w:r w:rsidRPr="00C9293B">
        <w:rPr>
          <w:rFonts w:ascii="Calibri" w:hAnsi="Calibri" w:cs="Calibri"/>
          <w:noProof/>
          <w:sz w:val="24"/>
          <w:szCs w:val="24"/>
        </w:rPr>
        <w:t xml:space="preserve">, </w:t>
      </w:r>
      <w:r w:rsidRPr="00C9293B">
        <w:rPr>
          <w:rFonts w:ascii="Calibri" w:hAnsi="Calibri" w:cs="Calibri"/>
          <w:i/>
          <w:iCs/>
          <w:noProof/>
          <w:sz w:val="24"/>
          <w:szCs w:val="24"/>
        </w:rPr>
        <w:t>1</w:t>
      </w:r>
      <w:r w:rsidRPr="00C9293B">
        <w:rPr>
          <w:rFonts w:ascii="Calibri" w:hAnsi="Calibri" w:cs="Calibri"/>
          <w:noProof/>
          <w:sz w:val="24"/>
          <w:szCs w:val="24"/>
        </w:rPr>
        <w:t>(1), 7. https://doi.org/10.5455/jice.20120403013109</w:t>
      </w:r>
    </w:p>
    <w:p w14:paraId="522BF1F3"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Khalil, S. R., Mohammed, W. A., Zaglool, A. W., Elhady, W. M., Farag, M. R., &amp; El, A. M. (2019). In fl ammatory and oxidative injury is induced in cardiac and pulmonary tissue following fi pronil exposure in Japanese quail : mRNA expression of the genes encoding interleukin 6 , nuclear factor kappa B , and tumor necrosis factor-alpha +, </w:t>
      </w:r>
      <w:r w:rsidRPr="00C9293B">
        <w:rPr>
          <w:rFonts w:ascii="Calibri" w:hAnsi="Calibri" w:cs="Calibri"/>
          <w:i/>
          <w:iCs/>
          <w:noProof/>
          <w:sz w:val="24"/>
          <w:szCs w:val="24"/>
        </w:rPr>
        <w:t>251</w:t>
      </w:r>
      <w:r w:rsidRPr="00C9293B">
        <w:rPr>
          <w:rFonts w:ascii="Calibri" w:hAnsi="Calibri" w:cs="Calibri"/>
          <w:noProof/>
          <w:sz w:val="24"/>
          <w:szCs w:val="24"/>
        </w:rPr>
        <w:t>, 564–572. https://doi.org/10.1016/j.envpol.2019.05.012</w:t>
      </w:r>
    </w:p>
    <w:p w14:paraId="7AEDD16A"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Kim, Y. A., Yoon, Y. S., Kim, H. S., Jeon, S. J., Cole, E., Lee, J., … Cho, Y. H. (2019). Distribution of fipronil in humans, and adverse health outcomes of in utero fipronil sulfone exposure in newborns. </w:t>
      </w:r>
      <w:r w:rsidRPr="00C9293B">
        <w:rPr>
          <w:rFonts w:ascii="Calibri" w:hAnsi="Calibri" w:cs="Calibri"/>
          <w:i/>
          <w:iCs/>
          <w:noProof/>
          <w:sz w:val="24"/>
          <w:szCs w:val="24"/>
        </w:rPr>
        <w:t>International Journal of Hygiene and Environmental Health</w:t>
      </w:r>
      <w:r w:rsidRPr="00C9293B">
        <w:rPr>
          <w:rFonts w:ascii="Calibri" w:hAnsi="Calibri" w:cs="Calibri"/>
          <w:noProof/>
          <w:sz w:val="24"/>
          <w:szCs w:val="24"/>
        </w:rPr>
        <w:t xml:space="preserve">, </w:t>
      </w:r>
      <w:r w:rsidRPr="00C9293B">
        <w:rPr>
          <w:rFonts w:ascii="Calibri" w:hAnsi="Calibri" w:cs="Calibri"/>
          <w:i/>
          <w:iCs/>
          <w:noProof/>
          <w:sz w:val="24"/>
          <w:szCs w:val="24"/>
        </w:rPr>
        <w:t>222</w:t>
      </w:r>
      <w:r w:rsidRPr="00C9293B">
        <w:rPr>
          <w:rFonts w:ascii="Calibri" w:hAnsi="Calibri" w:cs="Calibri"/>
          <w:noProof/>
          <w:sz w:val="24"/>
          <w:szCs w:val="24"/>
        </w:rPr>
        <w:t>(3), 524–532. https://doi.org/10.1016/j.ijheh.2019.01.009</w:t>
      </w:r>
    </w:p>
    <w:p w14:paraId="1087BD0E"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Kuhad, A., &amp; Chopra, K. (2009). Attenuation of diabetic nephropathy by tocotrienol: Involvement of NFkB signaling pathway. </w:t>
      </w:r>
      <w:r w:rsidRPr="00C9293B">
        <w:rPr>
          <w:rFonts w:ascii="Calibri" w:hAnsi="Calibri" w:cs="Calibri"/>
          <w:i/>
          <w:iCs/>
          <w:noProof/>
          <w:sz w:val="24"/>
          <w:szCs w:val="24"/>
        </w:rPr>
        <w:t>Life Sciences</w:t>
      </w:r>
      <w:r w:rsidRPr="00C9293B">
        <w:rPr>
          <w:rFonts w:ascii="Calibri" w:hAnsi="Calibri" w:cs="Calibri"/>
          <w:noProof/>
          <w:sz w:val="24"/>
          <w:szCs w:val="24"/>
        </w:rPr>
        <w:t xml:space="preserve">, </w:t>
      </w:r>
      <w:r w:rsidRPr="00C9293B">
        <w:rPr>
          <w:rFonts w:ascii="Calibri" w:hAnsi="Calibri" w:cs="Calibri"/>
          <w:i/>
          <w:iCs/>
          <w:noProof/>
          <w:sz w:val="24"/>
          <w:szCs w:val="24"/>
        </w:rPr>
        <w:t>84</w:t>
      </w:r>
      <w:r w:rsidRPr="00C9293B">
        <w:rPr>
          <w:rFonts w:ascii="Calibri" w:hAnsi="Calibri" w:cs="Calibri"/>
          <w:noProof/>
          <w:sz w:val="24"/>
          <w:szCs w:val="24"/>
        </w:rPr>
        <w:t>(9–10), 296–301. https://doi.org/10.1016/j.lfs.2008.12.014</w:t>
      </w:r>
    </w:p>
    <w:p w14:paraId="426C8B24"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Leghait, J.; Veronique, G.; Nicole, P. H.; Marion, C.; Elisa- beth, P. and Pierre-Louis, T. (2009). Fipronil-induced disruption of thyroid function in rats is mediated by increased total and free thyroxine clearances concomitantly to increased activity of hepatic enzymes, </w:t>
      </w:r>
      <w:r w:rsidRPr="00C9293B">
        <w:rPr>
          <w:rFonts w:ascii="Calibri" w:hAnsi="Calibri" w:cs="Calibri"/>
          <w:i/>
          <w:iCs/>
          <w:noProof/>
          <w:sz w:val="24"/>
          <w:szCs w:val="24"/>
        </w:rPr>
        <w:t>255</w:t>
      </w:r>
      <w:r w:rsidRPr="00C9293B">
        <w:rPr>
          <w:rFonts w:ascii="Calibri" w:hAnsi="Calibri" w:cs="Calibri"/>
          <w:noProof/>
          <w:sz w:val="24"/>
          <w:szCs w:val="24"/>
        </w:rPr>
        <w:t>, 38–44. https://doi.org/10.1016/j.tox.2008.09.026</w:t>
      </w:r>
    </w:p>
    <w:p w14:paraId="5922C1BD"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McGill, M. R. (2016). The past and present of serum aminotransferases and the future of liver injury  biomarkers. </w:t>
      </w:r>
      <w:r w:rsidRPr="00C9293B">
        <w:rPr>
          <w:rFonts w:ascii="Calibri" w:hAnsi="Calibri" w:cs="Calibri"/>
          <w:i/>
          <w:iCs/>
          <w:noProof/>
          <w:sz w:val="24"/>
          <w:szCs w:val="24"/>
        </w:rPr>
        <w:t>EXCLI Journal</w:t>
      </w:r>
      <w:r w:rsidRPr="00C9293B">
        <w:rPr>
          <w:rFonts w:ascii="Calibri" w:hAnsi="Calibri" w:cs="Calibri"/>
          <w:noProof/>
          <w:sz w:val="24"/>
          <w:szCs w:val="24"/>
        </w:rPr>
        <w:t xml:space="preserve">, </w:t>
      </w:r>
      <w:r w:rsidRPr="00C9293B">
        <w:rPr>
          <w:rFonts w:ascii="Calibri" w:hAnsi="Calibri" w:cs="Calibri"/>
          <w:i/>
          <w:iCs/>
          <w:noProof/>
          <w:sz w:val="24"/>
          <w:szCs w:val="24"/>
        </w:rPr>
        <w:t>15</w:t>
      </w:r>
      <w:r w:rsidRPr="00C9293B">
        <w:rPr>
          <w:rFonts w:ascii="Calibri" w:hAnsi="Calibri" w:cs="Calibri"/>
          <w:noProof/>
          <w:sz w:val="24"/>
          <w:szCs w:val="24"/>
        </w:rPr>
        <w:t>, 817–828. https://doi.org/10.17179/excli2016-800</w:t>
      </w:r>
    </w:p>
    <w:p w14:paraId="256F4B73"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Mohammed, A. T., Imam, T. S., Farag, M. R., &amp; Ghoneim, M. H. (2016). Assessment of the toxic impacts of acute exposure to fipronil insecticide on Japanese quails. </w:t>
      </w:r>
      <w:r w:rsidRPr="00C9293B">
        <w:rPr>
          <w:rFonts w:ascii="Calibri" w:hAnsi="Calibri" w:cs="Calibri"/>
          <w:i/>
          <w:iCs/>
          <w:noProof/>
          <w:sz w:val="24"/>
          <w:szCs w:val="24"/>
        </w:rPr>
        <w:t>Japanese Journal of Veterinary Research</w:t>
      </w:r>
      <w:r w:rsidRPr="00C9293B">
        <w:rPr>
          <w:rFonts w:ascii="Calibri" w:hAnsi="Calibri" w:cs="Calibri"/>
          <w:noProof/>
          <w:sz w:val="24"/>
          <w:szCs w:val="24"/>
        </w:rPr>
        <w:t xml:space="preserve">, </w:t>
      </w:r>
      <w:r w:rsidRPr="00C9293B">
        <w:rPr>
          <w:rFonts w:ascii="Calibri" w:hAnsi="Calibri" w:cs="Calibri"/>
          <w:i/>
          <w:iCs/>
          <w:noProof/>
          <w:sz w:val="24"/>
          <w:szCs w:val="24"/>
        </w:rPr>
        <w:t>64</w:t>
      </w:r>
      <w:r w:rsidRPr="00C9293B">
        <w:rPr>
          <w:rFonts w:ascii="Calibri" w:hAnsi="Calibri" w:cs="Calibri"/>
          <w:noProof/>
          <w:sz w:val="24"/>
          <w:szCs w:val="24"/>
        </w:rPr>
        <w:t>, S243–S249.</w:t>
      </w:r>
    </w:p>
    <w:p w14:paraId="39AE41CF"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Nordberg, J., &amp; Arnér, E. S. J. (2001). Reactive oxygen species, antioxidants, and the mammalian thioredoxin system. </w:t>
      </w:r>
      <w:r w:rsidRPr="00C9293B">
        <w:rPr>
          <w:rFonts w:ascii="Calibri" w:hAnsi="Calibri" w:cs="Calibri"/>
          <w:i/>
          <w:iCs/>
          <w:noProof/>
          <w:sz w:val="24"/>
          <w:szCs w:val="24"/>
        </w:rPr>
        <w:t>Free Radical Biology and Medicine</w:t>
      </w:r>
      <w:r w:rsidRPr="00C9293B">
        <w:rPr>
          <w:rFonts w:ascii="Calibri" w:hAnsi="Calibri" w:cs="Calibri"/>
          <w:noProof/>
          <w:sz w:val="24"/>
          <w:szCs w:val="24"/>
        </w:rPr>
        <w:t xml:space="preserve">, </w:t>
      </w:r>
      <w:r w:rsidRPr="00C9293B">
        <w:rPr>
          <w:rFonts w:ascii="Calibri" w:hAnsi="Calibri" w:cs="Calibri"/>
          <w:i/>
          <w:iCs/>
          <w:noProof/>
          <w:sz w:val="24"/>
          <w:szCs w:val="24"/>
        </w:rPr>
        <w:t>31</w:t>
      </w:r>
      <w:r w:rsidRPr="00C9293B">
        <w:rPr>
          <w:rFonts w:ascii="Calibri" w:hAnsi="Calibri" w:cs="Calibri"/>
          <w:noProof/>
          <w:sz w:val="24"/>
          <w:szCs w:val="24"/>
        </w:rPr>
        <w:t>(11), 1287–1312. https://doi.org/10.1016/S0891-5849(01)00724-9</w:t>
      </w:r>
    </w:p>
    <w:p w14:paraId="6D1F8387"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Paul F. Gulyassy, Thomas A. Depner,  and W. K. M. (1981). Four methods for determining albumin in azotemic sera evaluated. </w:t>
      </w:r>
      <w:r w:rsidRPr="00C9293B">
        <w:rPr>
          <w:rFonts w:ascii="Calibri" w:hAnsi="Calibri" w:cs="Calibri"/>
          <w:i/>
          <w:iCs/>
          <w:noProof/>
          <w:sz w:val="24"/>
          <w:szCs w:val="24"/>
        </w:rPr>
        <w:t>Clinical Chemistry</w:t>
      </w:r>
      <w:r w:rsidRPr="00C9293B">
        <w:rPr>
          <w:rFonts w:ascii="Calibri" w:hAnsi="Calibri" w:cs="Calibri"/>
          <w:noProof/>
          <w:sz w:val="24"/>
          <w:szCs w:val="24"/>
        </w:rPr>
        <w:t xml:space="preserve">, </w:t>
      </w:r>
      <w:r w:rsidRPr="00C9293B">
        <w:rPr>
          <w:rFonts w:ascii="Calibri" w:hAnsi="Calibri" w:cs="Calibri"/>
          <w:i/>
          <w:iCs/>
          <w:noProof/>
          <w:sz w:val="24"/>
          <w:szCs w:val="24"/>
        </w:rPr>
        <w:t>27</w:t>
      </w:r>
      <w:r w:rsidRPr="00C9293B">
        <w:rPr>
          <w:rFonts w:ascii="Calibri" w:hAnsi="Calibri" w:cs="Calibri"/>
          <w:noProof/>
          <w:sz w:val="24"/>
          <w:szCs w:val="24"/>
        </w:rPr>
        <w:t>(2), 322–325. https://doi.org/10.1093/clinchem/27.2.322</w:t>
      </w:r>
    </w:p>
    <w:p w14:paraId="6D05D05F"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lastRenderedPageBreak/>
        <w:t xml:space="preserve">Rm, K., &amp; David, M. (2017). Modulations in Haematological Aspects of Wistar Rats Exposed to Sublethal Doses of Fipronil under Subchronic Duration, </w:t>
      </w:r>
      <w:r w:rsidRPr="00C9293B">
        <w:rPr>
          <w:rFonts w:ascii="Calibri" w:hAnsi="Calibri" w:cs="Calibri"/>
          <w:i/>
          <w:iCs/>
          <w:noProof/>
          <w:sz w:val="24"/>
          <w:szCs w:val="24"/>
        </w:rPr>
        <w:t>5</w:t>
      </w:r>
      <w:r w:rsidRPr="00C9293B">
        <w:rPr>
          <w:rFonts w:ascii="Calibri" w:hAnsi="Calibri" w:cs="Calibri"/>
          <w:noProof/>
          <w:sz w:val="24"/>
          <w:szCs w:val="24"/>
        </w:rPr>
        <w:t>(November), 187–194.</w:t>
      </w:r>
    </w:p>
    <w:p w14:paraId="1317AFF2"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Saha, J., Choudhuri, S., &amp; Choudhuri, D. (2017). Effect of subchronic exposure to chromium on hematological and biochemical parameters of male albino rat. </w:t>
      </w:r>
      <w:r w:rsidRPr="00C9293B">
        <w:rPr>
          <w:rFonts w:ascii="Calibri" w:hAnsi="Calibri" w:cs="Calibri"/>
          <w:i/>
          <w:iCs/>
          <w:noProof/>
          <w:sz w:val="24"/>
          <w:szCs w:val="24"/>
        </w:rPr>
        <w:t>Asian Journal of Pharmaceutical and Clinical Research</w:t>
      </w:r>
      <w:r w:rsidRPr="00C9293B">
        <w:rPr>
          <w:rFonts w:ascii="Calibri" w:hAnsi="Calibri" w:cs="Calibri"/>
          <w:noProof/>
          <w:sz w:val="24"/>
          <w:szCs w:val="24"/>
        </w:rPr>
        <w:t xml:space="preserve">, </w:t>
      </w:r>
      <w:r w:rsidRPr="00C9293B">
        <w:rPr>
          <w:rFonts w:ascii="Calibri" w:hAnsi="Calibri" w:cs="Calibri"/>
          <w:i/>
          <w:iCs/>
          <w:noProof/>
          <w:sz w:val="24"/>
          <w:szCs w:val="24"/>
        </w:rPr>
        <w:t>10</w:t>
      </w:r>
      <w:r w:rsidRPr="00C9293B">
        <w:rPr>
          <w:rFonts w:ascii="Calibri" w:hAnsi="Calibri" w:cs="Calibri"/>
          <w:noProof/>
          <w:sz w:val="24"/>
          <w:szCs w:val="24"/>
        </w:rPr>
        <w:t>(5), 345–348. https://doi.org/10.22159/ajpcr.2017.v10i5.17468</w:t>
      </w:r>
    </w:p>
    <w:p w14:paraId="0EC58BE4"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Sarıca, Z. S., Eren, M., &amp; Senturk, M. (2019). Effect of Boron on the Potassium Dichromate Induced Oxidative Damage in Brain Tissue of Sprague Dawley Rats. </w:t>
      </w:r>
      <w:r w:rsidRPr="00C9293B">
        <w:rPr>
          <w:rFonts w:ascii="Calibri" w:hAnsi="Calibri" w:cs="Calibri"/>
          <w:i/>
          <w:iCs/>
          <w:noProof/>
          <w:sz w:val="24"/>
          <w:szCs w:val="24"/>
        </w:rPr>
        <w:t>Pakistan Journal of Zoology</w:t>
      </w:r>
      <w:r w:rsidRPr="00C9293B">
        <w:rPr>
          <w:rFonts w:ascii="Calibri" w:hAnsi="Calibri" w:cs="Calibri"/>
          <w:noProof/>
          <w:sz w:val="24"/>
          <w:szCs w:val="24"/>
        </w:rPr>
        <w:t xml:space="preserve">, </w:t>
      </w:r>
      <w:r w:rsidRPr="00C9293B">
        <w:rPr>
          <w:rFonts w:ascii="Calibri" w:hAnsi="Calibri" w:cs="Calibri"/>
          <w:i/>
          <w:iCs/>
          <w:noProof/>
          <w:sz w:val="24"/>
          <w:szCs w:val="24"/>
        </w:rPr>
        <w:t>51</w:t>
      </w:r>
      <w:r w:rsidRPr="00C9293B">
        <w:rPr>
          <w:rFonts w:ascii="Calibri" w:hAnsi="Calibri" w:cs="Calibri"/>
          <w:noProof/>
          <w:sz w:val="24"/>
          <w:szCs w:val="24"/>
        </w:rPr>
        <w:t>(5), 1905–1910. https://doi.org/10.17582/journal.pjz/2019.51.5.1905.1910</w:t>
      </w:r>
    </w:p>
    <w:p w14:paraId="4B946D6A"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SATOH, K. (1978). Serum lipid peroxide in cerebrovascular disorders determined by a new colorimetric method. </w:t>
      </w:r>
      <w:r w:rsidRPr="00C9293B">
        <w:rPr>
          <w:rFonts w:ascii="Calibri" w:hAnsi="Calibri" w:cs="Calibri"/>
          <w:i/>
          <w:iCs/>
          <w:noProof/>
          <w:sz w:val="24"/>
          <w:szCs w:val="24"/>
        </w:rPr>
        <w:t>Clinica Chimica Acta</w:t>
      </w:r>
      <w:r w:rsidRPr="00C9293B">
        <w:rPr>
          <w:rFonts w:ascii="Calibri" w:hAnsi="Calibri" w:cs="Calibri"/>
          <w:noProof/>
          <w:sz w:val="24"/>
          <w:szCs w:val="24"/>
        </w:rPr>
        <w:t xml:space="preserve">, </w:t>
      </w:r>
      <w:r w:rsidRPr="00C9293B">
        <w:rPr>
          <w:rFonts w:ascii="Calibri" w:hAnsi="Calibri" w:cs="Calibri"/>
          <w:i/>
          <w:iCs/>
          <w:noProof/>
          <w:sz w:val="24"/>
          <w:szCs w:val="24"/>
        </w:rPr>
        <w:t>90</w:t>
      </w:r>
      <w:r w:rsidRPr="00C9293B">
        <w:rPr>
          <w:rFonts w:ascii="Calibri" w:hAnsi="Calibri" w:cs="Calibri"/>
          <w:noProof/>
          <w:sz w:val="24"/>
          <w:szCs w:val="24"/>
        </w:rPr>
        <w:t>(1), 37–43. https://doi.org/10.1016/0009-8981(78)90081-5</w:t>
      </w:r>
    </w:p>
    <w:p w14:paraId="18364F35"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Sies, H., Berndt, C., Jones, &amp; P., D. (2017). Oxidative stress. </w:t>
      </w:r>
      <w:r w:rsidRPr="00C9293B">
        <w:rPr>
          <w:rFonts w:ascii="Calibri" w:hAnsi="Calibri" w:cs="Calibri"/>
          <w:i/>
          <w:iCs/>
          <w:noProof/>
          <w:sz w:val="24"/>
          <w:szCs w:val="24"/>
        </w:rPr>
        <w:t>The Annual Review of Biochemistry</w:t>
      </w:r>
      <w:r w:rsidRPr="00C9293B">
        <w:rPr>
          <w:rFonts w:ascii="Calibri" w:hAnsi="Calibri" w:cs="Calibri"/>
          <w:noProof/>
          <w:sz w:val="24"/>
          <w:szCs w:val="24"/>
        </w:rPr>
        <w:t xml:space="preserve">, </w:t>
      </w:r>
      <w:r w:rsidRPr="00C9293B">
        <w:rPr>
          <w:rFonts w:ascii="Calibri" w:hAnsi="Calibri" w:cs="Calibri"/>
          <w:i/>
          <w:iCs/>
          <w:noProof/>
          <w:sz w:val="24"/>
          <w:szCs w:val="24"/>
        </w:rPr>
        <w:t>86</w:t>
      </w:r>
      <w:r w:rsidRPr="00C9293B">
        <w:rPr>
          <w:rFonts w:ascii="Calibri" w:hAnsi="Calibri" w:cs="Calibri"/>
          <w:noProof/>
          <w:sz w:val="24"/>
          <w:szCs w:val="24"/>
        </w:rPr>
        <w:t>, 715–748. https://doi.org/org/10.1146/annurev-biochem- 061516-045037</w:t>
      </w:r>
    </w:p>
    <w:p w14:paraId="7689539B"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Soudani, N., Ben Amara, I., Sefi, M., Boudawara, T., &amp; Zeghal, N. (2011). Effects of selenium on chromium (VI)-induced hepatotoxicity in adult rats. </w:t>
      </w:r>
      <w:r w:rsidRPr="00C9293B">
        <w:rPr>
          <w:rFonts w:ascii="Calibri" w:hAnsi="Calibri" w:cs="Calibri"/>
          <w:i/>
          <w:iCs/>
          <w:noProof/>
          <w:sz w:val="24"/>
          <w:szCs w:val="24"/>
        </w:rPr>
        <w:t>Experimental and Toxicologic Pathology</w:t>
      </w:r>
      <w:r w:rsidRPr="00C9293B">
        <w:rPr>
          <w:rFonts w:ascii="Calibri" w:hAnsi="Calibri" w:cs="Calibri"/>
          <w:noProof/>
          <w:sz w:val="24"/>
          <w:szCs w:val="24"/>
        </w:rPr>
        <w:t xml:space="preserve">, </w:t>
      </w:r>
      <w:r w:rsidRPr="00C9293B">
        <w:rPr>
          <w:rFonts w:ascii="Calibri" w:hAnsi="Calibri" w:cs="Calibri"/>
          <w:i/>
          <w:iCs/>
          <w:noProof/>
          <w:sz w:val="24"/>
          <w:szCs w:val="24"/>
        </w:rPr>
        <w:t>63</w:t>
      </w:r>
      <w:r w:rsidRPr="00C9293B">
        <w:rPr>
          <w:rFonts w:ascii="Calibri" w:hAnsi="Calibri" w:cs="Calibri"/>
          <w:noProof/>
          <w:sz w:val="24"/>
          <w:szCs w:val="24"/>
        </w:rPr>
        <w:t>(6), 541–548. https://doi.org/10.1016/j.etp.2010.04.005</w:t>
      </w:r>
    </w:p>
    <w:p w14:paraId="0D5959B9"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Soudani, N., &amp; Troudi, A. (2012). Ameliorating effect of selenium on chromium ( VI ) -induced oxidative damage in the brain of adult rats, 397–409. https://doi.org/10.1007/s13105-012-0152-4</w:t>
      </w:r>
    </w:p>
    <w:p w14:paraId="37D3BDCA"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Terçariol, G., &amp; Godinho, A. F. (2011). Behavioral effects of acute exposure to the insecticide fipronil, </w:t>
      </w:r>
      <w:r w:rsidRPr="00C9293B">
        <w:rPr>
          <w:rFonts w:ascii="Calibri" w:hAnsi="Calibri" w:cs="Calibri"/>
          <w:i/>
          <w:iCs/>
          <w:noProof/>
          <w:sz w:val="24"/>
          <w:szCs w:val="24"/>
        </w:rPr>
        <w:t>99</w:t>
      </w:r>
      <w:r w:rsidRPr="00C9293B">
        <w:rPr>
          <w:rFonts w:ascii="Calibri" w:hAnsi="Calibri" w:cs="Calibri"/>
          <w:noProof/>
          <w:sz w:val="24"/>
          <w:szCs w:val="24"/>
        </w:rPr>
        <w:t>, 221–225. https://doi.org/10.1016/j.pestbp.2010.12.007</w:t>
      </w:r>
    </w:p>
    <w:p w14:paraId="5124AEF8"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Tingle, Colin C.D, Joachim A. Rother, Charles F. Dewhurst, Sasha Lauer,  and W. J. K. (2003). </w:t>
      </w:r>
      <w:r w:rsidRPr="00C9293B">
        <w:rPr>
          <w:rFonts w:ascii="Calibri" w:hAnsi="Calibri" w:cs="Calibri"/>
          <w:i/>
          <w:iCs/>
          <w:noProof/>
          <w:sz w:val="24"/>
          <w:szCs w:val="24"/>
        </w:rPr>
        <w:t>Reviews of Environmental Contamination and Toxicology</w:t>
      </w:r>
      <w:r w:rsidRPr="00C9293B">
        <w:rPr>
          <w:rFonts w:ascii="Calibri" w:hAnsi="Calibri" w:cs="Calibri"/>
          <w:noProof/>
          <w:sz w:val="24"/>
          <w:szCs w:val="24"/>
        </w:rPr>
        <w:t>.</w:t>
      </w:r>
    </w:p>
    <w:p w14:paraId="07594FF7"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Turner, M. D., Nedjai, B., Hurst, T., &amp; Pennington, D. J. (2014). Cytokines and chemokines: At the crossroads of cell signalling and inflammatory disease. </w:t>
      </w:r>
      <w:r w:rsidRPr="00C9293B">
        <w:rPr>
          <w:rFonts w:ascii="Calibri" w:hAnsi="Calibri" w:cs="Calibri"/>
          <w:i/>
          <w:iCs/>
          <w:noProof/>
          <w:sz w:val="24"/>
          <w:szCs w:val="24"/>
        </w:rPr>
        <w:t>Biochimica et Biophysica Acta - Molecular Cell Research</w:t>
      </w:r>
      <w:r w:rsidRPr="00C9293B">
        <w:rPr>
          <w:rFonts w:ascii="Calibri" w:hAnsi="Calibri" w:cs="Calibri"/>
          <w:noProof/>
          <w:sz w:val="24"/>
          <w:szCs w:val="24"/>
        </w:rPr>
        <w:t xml:space="preserve">, </w:t>
      </w:r>
      <w:r w:rsidRPr="00C9293B">
        <w:rPr>
          <w:rFonts w:ascii="Calibri" w:hAnsi="Calibri" w:cs="Calibri"/>
          <w:i/>
          <w:iCs/>
          <w:noProof/>
          <w:sz w:val="24"/>
          <w:szCs w:val="24"/>
        </w:rPr>
        <w:t>1843</w:t>
      </w:r>
      <w:r w:rsidRPr="00C9293B">
        <w:rPr>
          <w:rFonts w:ascii="Calibri" w:hAnsi="Calibri" w:cs="Calibri"/>
          <w:noProof/>
          <w:sz w:val="24"/>
          <w:szCs w:val="24"/>
        </w:rPr>
        <w:t>(11), 2563–2582. https://doi.org/10.1016/j.bbamcr.2014.05.014</w:t>
      </w:r>
    </w:p>
    <w:p w14:paraId="085D717A"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Turpeinen, R., Kairesalo, T., &amp; Häggblom, M. M. (2004). Microbial community structure and </w:t>
      </w:r>
      <w:r w:rsidRPr="00C9293B">
        <w:rPr>
          <w:rFonts w:ascii="Calibri" w:hAnsi="Calibri" w:cs="Calibri"/>
          <w:noProof/>
          <w:sz w:val="24"/>
          <w:szCs w:val="24"/>
        </w:rPr>
        <w:lastRenderedPageBreak/>
        <w:t xml:space="preserve">activity in arsenic-, chromium- and copper-contaminated soils. </w:t>
      </w:r>
      <w:r w:rsidRPr="00C9293B">
        <w:rPr>
          <w:rFonts w:ascii="Calibri" w:hAnsi="Calibri" w:cs="Calibri"/>
          <w:i/>
          <w:iCs/>
          <w:noProof/>
          <w:sz w:val="24"/>
          <w:szCs w:val="24"/>
        </w:rPr>
        <w:t>FEMS Microbiology Ecology</w:t>
      </w:r>
      <w:r w:rsidRPr="00C9293B">
        <w:rPr>
          <w:rFonts w:ascii="Calibri" w:hAnsi="Calibri" w:cs="Calibri"/>
          <w:noProof/>
          <w:sz w:val="24"/>
          <w:szCs w:val="24"/>
        </w:rPr>
        <w:t xml:space="preserve">, </w:t>
      </w:r>
      <w:r w:rsidRPr="00C9293B">
        <w:rPr>
          <w:rFonts w:ascii="Calibri" w:hAnsi="Calibri" w:cs="Calibri"/>
          <w:i/>
          <w:iCs/>
          <w:noProof/>
          <w:sz w:val="24"/>
          <w:szCs w:val="24"/>
        </w:rPr>
        <w:t>47</w:t>
      </w:r>
      <w:r w:rsidRPr="00C9293B">
        <w:rPr>
          <w:rFonts w:ascii="Calibri" w:hAnsi="Calibri" w:cs="Calibri"/>
          <w:noProof/>
          <w:sz w:val="24"/>
          <w:szCs w:val="24"/>
        </w:rPr>
        <w:t>(1), 39–50. https://doi.org/10.1016/S0168-6496(03)00232-0</w:t>
      </w:r>
    </w:p>
    <w:p w14:paraId="03D71863"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Velmurugan, V., &amp; Ganesan, A. (2014). Hepatoprotective activity of methanol extract of stem bark of prosopis cineraria linn against carbon tetrachloride induced hepatotoxicity. </w:t>
      </w:r>
      <w:r w:rsidRPr="00C9293B">
        <w:rPr>
          <w:rFonts w:ascii="Calibri" w:hAnsi="Calibri" w:cs="Calibri"/>
          <w:i/>
          <w:iCs/>
          <w:noProof/>
          <w:sz w:val="24"/>
          <w:szCs w:val="24"/>
        </w:rPr>
        <w:t>International Journal of Pharmacy and Pharmaceutical Sciences</w:t>
      </w:r>
      <w:r w:rsidRPr="00C9293B">
        <w:rPr>
          <w:rFonts w:ascii="Calibri" w:hAnsi="Calibri" w:cs="Calibri"/>
          <w:noProof/>
          <w:sz w:val="24"/>
          <w:szCs w:val="24"/>
        </w:rPr>
        <w:t xml:space="preserve">, </w:t>
      </w:r>
      <w:r w:rsidRPr="00C9293B">
        <w:rPr>
          <w:rFonts w:ascii="Calibri" w:hAnsi="Calibri" w:cs="Calibri"/>
          <w:i/>
          <w:iCs/>
          <w:noProof/>
          <w:sz w:val="24"/>
          <w:szCs w:val="24"/>
        </w:rPr>
        <w:t>6</w:t>
      </w:r>
      <w:r w:rsidRPr="00C9293B">
        <w:rPr>
          <w:rFonts w:ascii="Calibri" w:hAnsi="Calibri" w:cs="Calibri"/>
          <w:noProof/>
          <w:sz w:val="24"/>
          <w:szCs w:val="24"/>
        </w:rPr>
        <w:t>, 491–493.</w:t>
      </w:r>
    </w:p>
    <w:p w14:paraId="6DCF30E1"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Wilkinson, J. H., Baron, D. N., Moss, D. W., &amp; Walker, P. G. (1972). Standardization of clinical enzyme assays: a reference method for aspartate and alanine transaminases. </w:t>
      </w:r>
      <w:r w:rsidRPr="00C9293B">
        <w:rPr>
          <w:rFonts w:ascii="Calibri" w:hAnsi="Calibri" w:cs="Calibri"/>
          <w:i/>
          <w:iCs/>
          <w:noProof/>
          <w:sz w:val="24"/>
          <w:szCs w:val="24"/>
        </w:rPr>
        <w:t>Journal of Clinical Pathology</w:t>
      </w:r>
      <w:r w:rsidRPr="00C9293B">
        <w:rPr>
          <w:rFonts w:ascii="Calibri" w:hAnsi="Calibri" w:cs="Calibri"/>
          <w:noProof/>
          <w:sz w:val="24"/>
          <w:szCs w:val="24"/>
        </w:rPr>
        <w:t xml:space="preserve">, </w:t>
      </w:r>
      <w:r w:rsidRPr="00C9293B">
        <w:rPr>
          <w:rFonts w:ascii="Calibri" w:hAnsi="Calibri" w:cs="Calibri"/>
          <w:i/>
          <w:iCs/>
          <w:noProof/>
          <w:sz w:val="24"/>
          <w:szCs w:val="24"/>
        </w:rPr>
        <w:t>25</w:t>
      </w:r>
      <w:r w:rsidRPr="00C9293B">
        <w:rPr>
          <w:rFonts w:ascii="Calibri" w:hAnsi="Calibri" w:cs="Calibri"/>
          <w:noProof/>
          <w:sz w:val="24"/>
          <w:szCs w:val="24"/>
        </w:rPr>
        <w:t>(11), 940–944. https://doi.org/10.1136/jcp.25.11.940</w:t>
      </w:r>
    </w:p>
    <w:p w14:paraId="40931A4E"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szCs w:val="24"/>
        </w:rPr>
      </w:pPr>
      <w:r w:rsidRPr="00C9293B">
        <w:rPr>
          <w:rFonts w:ascii="Calibri" w:hAnsi="Calibri" w:cs="Calibri"/>
          <w:noProof/>
          <w:sz w:val="24"/>
          <w:szCs w:val="24"/>
        </w:rPr>
        <w:t xml:space="preserve">Yang, Y., Liu, H., Liu, F., &amp; Dong, Z. (2014). Mitochondrial dysregulation and protection in cisplatin nephrotoxicity. </w:t>
      </w:r>
      <w:r w:rsidRPr="00C9293B">
        <w:rPr>
          <w:rFonts w:ascii="Calibri" w:hAnsi="Calibri" w:cs="Calibri"/>
          <w:i/>
          <w:iCs/>
          <w:noProof/>
          <w:sz w:val="24"/>
          <w:szCs w:val="24"/>
        </w:rPr>
        <w:t>Archives of Toxicology</w:t>
      </w:r>
      <w:r w:rsidRPr="00C9293B">
        <w:rPr>
          <w:rFonts w:ascii="Calibri" w:hAnsi="Calibri" w:cs="Calibri"/>
          <w:noProof/>
          <w:sz w:val="24"/>
          <w:szCs w:val="24"/>
        </w:rPr>
        <w:t>. https://doi.org/10.1007/s00204-014-1239-1</w:t>
      </w:r>
    </w:p>
    <w:p w14:paraId="6664F1D5" w14:textId="77777777" w:rsidR="00C9293B" w:rsidRPr="00C9293B" w:rsidRDefault="00C9293B" w:rsidP="00C9293B">
      <w:pPr>
        <w:widowControl w:val="0"/>
        <w:autoSpaceDE w:val="0"/>
        <w:autoSpaceDN w:val="0"/>
        <w:adjustRightInd w:val="0"/>
        <w:spacing w:after="0" w:line="360" w:lineRule="auto"/>
        <w:ind w:left="480" w:hanging="480"/>
        <w:rPr>
          <w:rFonts w:ascii="Calibri" w:hAnsi="Calibri" w:cs="Calibri"/>
          <w:noProof/>
          <w:sz w:val="24"/>
        </w:rPr>
      </w:pPr>
      <w:r w:rsidRPr="00C9293B">
        <w:rPr>
          <w:rFonts w:ascii="Calibri" w:hAnsi="Calibri" w:cs="Calibri"/>
          <w:noProof/>
          <w:sz w:val="24"/>
          <w:szCs w:val="24"/>
        </w:rPr>
        <w:t xml:space="preserve">Zhao, X., Yeh, J. Z., Salgado, V. L., &amp; Narahashi, T. (2004). Fipronil is a potent open channel blocker of glutamate-activated chloride channels in cockroach neurons. </w:t>
      </w:r>
      <w:r w:rsidRPr="00C9293B">
        <w:rPr>
          <w:rFonts w:ascii="Calibri" w:hAnsi="Calibri" w:cs="Calibri"/>
          <w:i/>
          <w:iCs/>
          <w:noProof/>
          <w:sz w:val="24"/>
          <w:szCs w:val="24"/>
        </w:rPr>
        <w:t>Journal of Pharmacology and Experimental Therapeutics</w:t>
      </w:r>
      <w:r w:rsidRPr="00C9293B">
        <w:rPr>
          <w:rFonts w:ascii="Calibri" w:hAnsi="Calibri" w:cs="Calibri"/>
          <w:noProof/>
          <w:sz w:val="24"/>
          <w:szCs w:val="24"/>
        </w:rPr>
        <w:t xml:space="preserve">, </w:t>
      </w:r>
      <w:r w:rsidRPr="00C9293B">
        <w:rPr>
          <w:rFonts w:ascii="Calibri" w:hAnsi="Calibri" w:cs="Calibri"/>
          <w:i/>
          <w:iCs/>
          <w:noProof/>
          <w:sz w:val="24"/>
          <w:szCs w:val="24"/>
        </w:rPr>
        <w:t>310</w:t>
      </w:r>
      <w:r w:rsidRPr="00C9293B">
        <w:rPr>
          <w:rFonts w:ascii="Calibri" w:hAnsi="Calibri" w:cs="Calibri"/>
          <w:noProof/>
          <w:sz w:val="24"/>
          <w:szCs w:val="24"/>
        </w:rPr>
        <w:t>(1), 192–201. https://doi.org/10.1124/jpet.104.065516</w:t>
      </w:r>
    </w:p>
    <w:p w14:paraId="7ABC3A53" w14:textId="5DE9B04B" w:rsidR="00C9293B" w:rsidRDefault="00C9293B" w:rsidP="005B6DEB">
      <w:pPr>
        <w:pStyle w:val="Normal14pt"/>
        <w:spacing w:line="360" w:lineRule="auto"/>
        <w:ind w:left="-450" w:firstLine="0"/>
        <w:jc w:val="both"/>
        <w:rPr>
          <w:rFonts w:asciiTheme="minorHAnsi" w:hAnsiTheme="minorHAnsi"/>
          <w:sz w:val="24"/>
          <w:szCs w:val="24"/>
        </w:rPr>
      </w:pPr>
      <w:r>
        <w:rPr>
          <w:rFonts w:asciiTheme="minorHAnsi" w:hAnsiTheme="minorHAnsi"/>
          <w:sz w:val="24"/>
          <w:szCs w:val="24"/>
        </w:rPr>
        <w:fldChar w:fldCharType="end"/>
      </w:r>
      <w:bookmarkStart w:id="12" w:name="_GoBack"/>
      <w:bookmarkEnd w:id="12"/>
    </w:p>
    <w:sectPr w:rsidR="00C9293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C215D" w14:textId="77777777" w:rsidR="009541A7" w:rsidRDefault="009541A7" w:rsidP="0084644D">
      <w:pPr>
        <w:spacing w:after="0" w:line="240" w:lineRule="auto"/>
      </w:pPr>
      <w:r>
        <w:separator/>
      </w:r>
    </w:p>
  </w:endnote>
  <w:endnote w:type="continuationSeparator" w:id="0">
    <w:p w14:paraId="3839259F" w14:textId="77777777" w:rsidR="009541A7" w:rsidRDefault="009541A7" w:rsidP="0084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IX-Regular">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145244"/>
      <w:docPartObj>
        <w:docPartGallery w:val="Page Numbers (Bottom of Page)"/>
        <w:docPartUnique/>
      </w:docPartObj>
    </w:sdtPr>
    <w:sdtEndPr>
      <w:rPr>
        <w:color w:val="7F7F7F" w:themeColor="background1" w:themeShade="7F"/>
        <w:spacing w:val="60"/>
      </w:rPr>
    </w:sdtEndPr>
    <w:sdtContent>
      <w:p w14:paraId="1C074986" w14:textId="2F904EF4" w:rsidR="00B6605D" w:rsidRDefault="00B6605D" w:rsidP="00030E90">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EAB2C4" w14:textId="77777777" w:rsidR="00B6605D" w:rsidRDefault="00B6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53B7" w14:textId="77777777" w:rsidR="009541A7" w:rsidRDefault="009541A7" w:rsidP="0084644D">
      <w:pPr>
        <w:spacing w:after="0" w:line="240" w:lineRule="auto"/>
      </w:pPr>
      <w:r>
        <w:separator/>
      </w:r>
    </w:p>
  </w:footnote>
  <w:footnote w:type="continuationSeparator" w:id="0">
    <w:p w14:paraId="57AB45B8" w14:textId="77777777" w:rsidR="009541A7" w:rsidRDefault="009541A7" w:rsidP="00846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D0F3E"/>
    <w:multiLevelType w:val="hybridMultilevel"/>
    <w:tmpl w:val="FC0CEDC0"/>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14"/>
    <w:rsid w:val="000208F9"/>
    <w:rsid w:val="00030E90"/>
    <w:rsid w:val="00053096"/>
    <w:rsid w:val="0005343C"/>
    <w:rsid w:val="000535AF"/>
    <w:rsid w:val="00082438"/>
    <w:rsid w:val="000B276A"/>
    <w:rsid w:val="000B6976"/>
    <w:rsid w:val="000C0E99"/>
    <w:rsid w:val="000F6329"/>
    <w:rsid w:val="00106872"/>
    <w:rsid w:val="001C083D"/>
    <w:rsid w:val="00247742"/>
    <w:rsid w:val="0025265F"/>
    <w:rsid w:val="00256B47"/>
    <w:rsid w:val="00257FCE"/>
    <w:rsid w:val="002A2A06"/>
    <w:rsid w:val="002F0224"/>
    <w:rsid w:val="002F301B"/>
    <w:rsid w:val="00304FC3"/>
    <w:rsid w:val="003E47A0"/>
    <w:rsid w:val="00404ED1"/>
    <w:rsid w:val="0049131D"/>
    <w:rsid w:val="004B6D25"/>
    <w:rsid w:val="004C6E68"/>
    <w:rsid w:val="00507C52"/>
    <w:rsid w:val="00544254"/>
    <w:rsid w:val="00554EC0"/>
    <w:rsid w:val="00596444"/>
    <w:rsid w:val="005B6DEB"/>
    <w:rsid w:val="005F7792"/>
    <w:rsid w:val="00605082"/>
    <w:rsid w:val="00633797"/>
    <w:rsid w:val="00635BE4"/>
    <w:rsid w:val="00650659"/>
    <w:rsid w:val="00651616"/>
    <w:rsid w:val="00674259"/>
    <w:rsid w:val="00687669"/>
    <w:rsid w:val="00697ED3"/>
    <w:rsid w:val="006A64CB"/>
    <w:rsid w:val="006E2422"/>
    <w:rsid w:val="007209BC"/>
    <w:rsid w:val="007271D1"/>
    <w:rsid w:val="007353B3"/>
    <w:rsid w:val="00793DC4"/>
    <w:rsid w:val="00796B99"/>
    <w:rsid w:val="0081567C"/>
    <w:rsid w:val="0083157D"/>
    <w:rsid w:val="00835ED5"/>
    <w:rsid w:val="0084644D"/>
    <w:rsid w:val="00875013"/>
    <w:rsid w:val="00895ABA"/>
    <w:rsid w:val="008A7597"/>
    <w:rsid w:val="008B0933"/>
    <w:rsid w:val="008B5D14"/>
    <w:rsid w:val="008B77FE"/>
    <w:rsid w:val="008C34C3"/>
    <w:rsid w:val="008F1F7D"/>
    <w:rsid w:val="009226BC"/>
    <w:rsid w:val="00946941"/>
    <w:rsid w:val="009541A7"/>
    <w:rsid w:val="00962B98"/>
    <w:rsid w:val="0097256D"/>
    <w:rsid w:val="009775F6"/>
    <w:rsid w:val="00982950"/>
    <w:rsid w:val="00984438"/>
    <w:rsid w:val="009A5F2C"/>
    <w:rsid w:val="009A699A"/>
    <w:rsid w:val="009C266D"/>
    <w:rsid w:val="009E25BB"/>
    <w:rsid w:val="00A22391"/>
    <w:rsid w:val="00A53CCE"/>
    <w:rsid w:val="00A63737"/>
    <w:rsid w:val="00A75798"/>
    <w:rsid w:val="00AC02C9"/>
    <w:rsid w:val="00AC35C1"/>
    <w:rsid w:val="00AC4458"/>
    <w:rsid w:val="00AD48B6"/>
    <w:rsid w:val="00AF4B61"/>
    <w:rsid w:val="00AF667A"/>
    <w:rsid w:val="00B04F54"/>
    <w:rsid w:val="00B6605D"/>
    <w:rsid w:val="00B81BE8"/>
    <w:rsid w:val="00B87EEC"/>
    <w:rsid w:val="00BC0008"/>
    <w:rsid w:val="00BF478B"/>
    <w:rsid w:val="00C1164D"/>
    <w:rsid w:val="00C16DB1"/>
    <w:rsid w:val="00C2429B"/>
    <w:rsid w:val="00C9293B"/>
    <w:rsid w:val="00CB1CC0"/>
    <w:rsid w:val="00CC7771"/>
    <w:rsid w:val="00D02BDF"/>
    <w:rsid w:val="00D33B60"/>
    <w:rsid w:val="00D53277"/>
    <w:rsid w:val="00D96B1C"/>
    <w:rsid w:val="00DD13F2"/>
    <w:rsid w:val="00E632A1"/>
    <w:rsid w:val="00E64019"/>
    <w:rsid w:val="00E67D31"/>
    <w:rsid w:val="00E73302"/>
    <w:rsid w:val="00EA3390"/>
    <w:rsid w:val="00EB0411"/>
    <w:rsid w:val="00EE394D"/>
    <w:rsid w:val="00EE6CD0"/>
    <w:rsid w:val="00EE6FBD"/>
    <w:rsid w:val="00EF37B0"/>
    <w:rsid w:val="00F04712"/>
    <w:rsid w:val="00F20A7E"/>
    <w:rsid w:val="00F331D5"/>
    <w:rsid w:val="00F472DB"/>
    <w:rsid w:val="00F624B5"/>
    <w:rsid w:val="00F73BF4"/>
    <w:rsid w:val="00F8786C"/>
    <w:rsid w:val="00FA3ADD"/>
    <w:rsid w:val="00FA6001"/>
    <w:rsid w:val="00FC2A83"/>
    <w:rsid w:val="00FC5FBD"/>
    <w:rsid w:val="00FD1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B19AB"/>
  <w15:chartTrackingRefBased/>
  <w15:docId w15:val="{82FA1C97-3BBB-4DA2-B1CF-B1F7392A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56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6D"/>
    <w:pPr>
      <w:ind w:left="720"/>
      <w:contextualSpacing/>
    </w:pPr>
  </w:style>
  <w:style w:type="paragraph" w:styleId="BodyText">
    <w:name w:val="Body Text"/>
    <w:basedOn w:val="Normal"/>
    <w:link w:val="BodyTextChar"/>
    <w:rsid w:val="00F8786C"/>
    <w:pPr>
      <w:spacing w:after="0" w:line="360" w:lineRule="auto"/>
      <w:jc w:val="lowKashida"/>
    </w:pPr>
    <w:rPr>
      <w:rFonts w:ascii="Times New Roman" w:eastAsia="Times New Roman" w:hAnsi="Times New Roman" w:cs="Traditional Arabic"/>
      <w:sz w:val="28"/>
      <w:szCs w:val="24"/>
    </w:rPr>
  </w:style>
  <w:style w:type="character" w:customStyle="1" w:styleId="BodyTextChar">
    <w:name w:val="Body Text Char"/>
    <w:basedOn w:val="DefaultParagraphFont"/>
    <w:link w:val="BodyText"/>
    <w:rsid w:val="00F8786C"/>
    <w:rPr>
      <w:rFonts w:ascii="Times New Roman" w:eastAsia="Times New Roman" w:hAnsi="Times New Roman" w:cs="Traditional Arabic"/>
      <w:sz w:val="28"/>
      <w:szCs w:val="24"/>
    </w:rPr>
  </w:style>
  <w:style w:type="table" w:styleId="TableGrid">
    <w:name w:val="Table Grid"/>
    <w:basedOn w:val="TableNormal"/>
    <w:uiPriority w:val="59"/>
    <w:rsid w:val="009C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464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644D"/>
    <w:rPr>
      <w:sz w:val="20"/>
      <w:szCs w:val="20"/>
    </w:rPr>
  </w:style>
  <w:style w:type="character" w:styleId="EndnoteReference">
    <w:name w:val="endnote reference"/>
    <w:basedOn w:val="DefaultParagraphFont"/>
    <w:uiPriority w:val="99"/>
    <w:semiHidden/>
    <w:unhideWhenUsed/>
    <w:rsid w:val="0084644D"/>
    <w:rPr>
      <w:vertAlign w:val="superscript"/>
    </w:rPr>
  </w:style>
  <w:style w:type="paragraph" w:styleId="Header">
    <w:name w:val="header"/>
    <w:basedOn w:val="Normal"/>
    <w:link w:val="HeaderChar"/>
    <w:uiPriority w:val="99"/>
    <w:unhideWhenUsed/>
    <w:rsid w:val="0084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4D"/>
  </w:style>
  <w:style w:type="paragraph" w:styleId="Footer">
    <w:name w:val="footer"/>
    <w:basedOn w:val="Normal"/>
    <w:link w:val="FooterChar"/>
    <w:uiPriority w:val="99"/>
    <w:unhideWhenUsed/>
    <w:rsid w:val="0084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4D"/>
  </w:style>
  <w:style w:type="table" w:styleId="PlainTable4">
    <w:name w:val="Plain Table 4"/>
    <w:basedOn w:val="TableNormal"/>
    <w:uiPriority w:val="44"/>
    <w:rsid w:val="00E640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40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14pt">
    <w:name w:val="Normal + 14 pt"/>
    <w:basedOn w:val="Normal"/>
    <w:rsid w:val="00962B98"/>
    <w:pPr>
      <w:spacing w:after="0" w:line="560" w:lineRule="exact"/>
      <w:ind w:firstLine="720"/>
      <w:jc w:val="lowKashida"/>
    </w:pPr>
    <w:rPr>
      <w:rFonts w:ascii="Times New Roman" w:eastAsia="Times New Roman" w:hAnsi="Times New Roman" w:cs="Times New Roman"/>
      <w:sz w:val="28"/>
      <w:szCs w:val="28"/>
      <w:lang w:bidi="ar-EG"/>
    </w:rPr>
  </w:style>
  <w:style w:type="paragraph" w:customStyle="1" w:styleId="Default">
    <w:name w:val="Default"/>
    <w:rsid w:val="00F331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tatistics\&#1588;&#1585;&#1608;&#1602;%20&#1588;&#1585;&#1593;&#1609;\Figur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Statistics\&#1588;&#1585;&#1608;&#1602;%20&#1588;&#1585;&#1593;&#1609;\Figure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Statistics\&#1588;&#1585;&#1608;&#1602;%20&#1588;&#1585;&#1593;&#1609;\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1"/>
            <c:invertIfNegative val="0"/>
            <c:bubble3D val="0"/>
            <c:spPr>
              <a:solidFill>
                <a:srgbClr val="FF0000"/>
              </a:solidFill>
            </c:spPr>
            <c:extLst>
              <c:ext xmlns:c16="http://schemas.microsoft.com/office/drawing/2014/chart" uri="{C3380CC4-5D6E-409C-BE32-E72D297353CC}">
                <c16:uniqueId val="{00000001-0BBB-4434-9AD7-37D7168F1784}"/>
              </c:ext>
            </c:extLst>
          </c:dPt>
          <c:dPt>
            <c:idx val="2"/>
            <c:invertIfNegative val="0"/>
            <c:bubble3D val="0"/>
            <c:spPr>
              <a:solidFill>
                <a:srgbClr val="7030A0"/>
              </a:solidFill>
            </c:spPr>
            <c:extLst>
              <c:ext xmlns:c16="http://schemas.microsoft.com/office/drawing/2014/chart" uri="{C3380CC4-5D6E-409C-BE32-E72D297353CC}">
                <c16:uniqueId val="{00000003-0BBB-4434-9AD7-37D7168F1784}"/>
              </c:ext>
            </c:extLst>
          </c:dPt>
          <c:dPt>
            <c:idx val="3"/>
            <c:invertIfNegative val="0"/>
            <c:bubble3D val="0"/>
            <c:spPr>
              <a:solidFill>
                <a:srgbClr val="00B050"/>
              </a:solidFill>
            </c:spPr>
            <c:extLst>
              <c:ext xmlns:c16="http://schemas.microsoft.com/office/drawing/2014/chart" uri="{C3380CC4-5D6E-409C-BE32-E72D297353CC}">
                <c16:uniqueId val="{00000005-0BBB-4434-9AD7-37D7168F1784}"/>
              </c:ext>
            </c:extLst>
          </c:dPt>
          <c:errBars>
            <c:errBarType val="both"/>
            <c:errValType val="cust"/>
            <c:noEndCap val="0"/>
            <c:plus>
              <c:numRef>
                <c:f>Sheet1!$D$98:$D$102</c:f>
                <c:numCache>
                  <c:formatCode>General</c:formatCode>
                  <c:ptCount val="5"/>
                  <c:pt idx="0">
                    <c:v>0.86194315357800699</c:v>
                  </c:pt>
                  <c:pt idx="1">
                    <c:v>0.53829205208077668</c:v>
                  </c:pt>
                  <c:pt idx="2">
                    <c:v>0.22228235297576923</c:v>
                  </c:pt>
                  <c:pt idx="3">
                    <c:v>0.33359473084034846</c:v>
                  </c:pt>
                  <c:pt idx="4">
                    <c:v>0.42121544247521586</c:v>
                  </c:pt>
                </c:numCache>
              </c:numRef>
            </c:plus>
            <c:minus>
              <c:numRef>
                <c:f>Sheet1!$D$98:$D$102</c:f>
                <c:numCache>
                  <c:formatCode>General</c:formatCode>
                  <c:ptCount val="5"/>
                  <c:pt idx="0">
                    <c:v>0.86194315357800699</c:v>
                  </c:pt>
                  <c:pt idx="1">
                    <c:v>0.53829205208077668</c:v>
                  </c:pt>
                  <c:pt idx="2">
                    <c:v>0.22228235297576923</c:v>
                  </c:pt>
                  <c:pt idx="3">
                    <c:v>0.33359473084034846</c:v>
                  </c:pt>
                  <c:pt idx="4">
                    <c:v>0.42121544247521586</c:v>
                  </c:pt>
                </c:numCache>
              </c:numRef>
            </c:minus>
          </c:errBars>
          <c:cat>
            <c:strRef>
              <c:f>Sheet1!$B$98:$B$102</c:f>
              <c:strCache>
                <c:ptCount val="5"/>
                <c:pt idx="0">
                  <c:v>Control Saline</c:v>
                </c:pt>
                <c:pt idx="1">
                  <c:v>Control Corn Oil</c:v>
                </c:pt>
                <c:pt idx="2">
                  <c:v>Fipronil</c:v>
                </c:pt>
                <c:pt idx="3">
                  <c:v>Chromium</c:v>
                </c:pt>
                <c:pt idx="4">
                  <c:v>Fipronil +chromium</c:v>
                </c:pt>
              </c:strCache>
            </c:strRef>
          </c:cat>
          <c:val>
            <c:numRef>
              <c:f>Sheet1!$C$98:$C$102</c:f>
              <c:numCache>
                <c:formatCode>###0.00</c:formatCode>
                <c:ptCount val="5"/>
                <c:pt idx="0">
                  <c:v>9.516</c:v>
                </c:pt>
                <c:pt idx="1">
                  <c:v>9.0350000000000001</c:v>
                </c:pt>
                <c:pt idx="2">
                  <c:v>8.4483333333333324</c:v>
                </c:pt>
                <c:pt idx="3">
                  <c:v>8.3690000000000015</c:v>
                </c:pt>
                <c:pt idx="4">
                  <c:v>8.362857142857143</c:v>
                </c:pt>
              </c:numCache>
            </c:numRef>
          </c:val>
          <c:extLst>
            <c:ext xmlns:c16="http://schemas.microsoft.com/office/drawing/2014/chart" uri="{C3380CC4-5D6E-409C-BE32-E72D297353CC}">
              <c16:uniqueId val="{00000006-0BBB-4434-9AD7-37D7168F1784}"/>
            </c:ext>
          </c:extLst>
        </c:ser>
        <c:dLbls>
          <c:showLegendKey val="0"/>
          <c:showVal val="0"/>
          <c:showCatName val="0"/>
          <c:showSerName val="0"/>
          <c:showPercent val="0"/>
          <c:showBubbleSize val="0"/>
        </c:dLbls>
        <c:gapWidth val="150"/>
        <c:axId val="167629952"/>
        <c:axId val="167631872"/>
      </c:barChart>
      <c:catAx>
        <c:axId val="167629952"/>
        <c:scaling>
          <c:orientation val="minMax"/>
        </c:scaling>
        <c:delete val="0"/>
        <c:axPos val="b"/>
        <c:title>
          <c:tx>
            <c:rich>
              <a:bodyPr/>
              <a:lstStyle/>
              <a:p>
                <a:pPr>
                  <a:defRPr/>
                </a:pPr>
                <a:r>
                  <a:rPr lang="en-US" sz="1200">
                    <a:cs typeface="+mj-cs"/>
                  </a:rPr>
                  <a:t>Experimental Groups</a:t>
                </a:r>
              </a:p>
            </c:rich>
          </c:tx>
          <c:overlay val="0"/>
          <c:spPr>
            <a:ln>
              <a:solidFill>
                <a:sysClr val="windowText" lastClr="000000"/>
              </a:solidFill>
            </a:ln>
          </c:spPr>
        </c:title>
        <c:numFmt formatCode="General" sourceLinked="0"/>
        <c:majorTickMark val="out"/>
        <c:minorTickMark val="none"/>
        <c:tickLblPos val="nextTo"/>
        <c:crossAx val="167631872"/>
        <c:crosses val="autoZero"/>
        <c:auto val="1"/>
        <c:lblAlgn val="ctr"/>
        <c:lblOffset val="100"/>
        <c:noMultiLvlLbl val="0"/>
      </c:catAx>
      <c:valAx>
        <c:axId val="167631872"/>
        <c:scaling>
          <c:orientation val="minMax"/>
        </c:scaling>
        <c:delete val="0"/>
        <c:axPos val="l"/>
        <c:majorGridlines/>
        <c:title>
          <c:tx>
            <c:rich>
              <a:bodyPr rot="-5400000" vert="horz"/>
              <a:lstStyle/>
              <a:p>
                <a:pPr>
                  <a:defRPr/>
                </a:pPr>
                <a:r>
                  <a:rPr lang="en-US" sz="1200" b="1" i="0" u="none" strike="noStrike" baseline="0">
                    <a:effectLst/>
                  </a:rPr>
                  <a:t>RBCs Count (10</a:t>
                </a:r>
                <a:r>
                  <a:rPr lang="en-US" sz="1200" b="1" i="0" u="none" strike="noStrike" baseline="30000">
                    <a:effectLst/>
                  </a:rPr>
                  <a:t>6</a:t>
                </a:r>
                <a:r>
                  <a:rPr lang="en-US" sz="1200" b="1" i="0" u="none" strike="noStrike" baseline="0">
                    <a:effectLst/>
                  </a:rPr>
                  <a:t>/cmm) </a:t>
                </a:r>
                <a:endParaRPr lang="en-US" sz="1200"/>
              </a:p>
            </c:rich>
          </c:tx>
          <c:overlay val="0"/>
          <c:spPr>
            <a:ln>
              <a:solidFill>
                <a:sysClr val="windowText" lastClr="000000"/>
              </a:solidFill>
            </a:ln>
          </c:spPr>
        </c:title>
        <c:numFmt formatCode="###0.00" sourceLinked="1"/>
        <c:majorTickMark val="out"/>
        <c:minorTickMark val="none"/>
        <c:tickLblPos val="nextTo"/>
        <c:crossAx val="167629952"/>
        <c:crosses val="autoZero"/>
        <c:crossBetween val="between"/>
      </c:valAx>
    </c:plotArea>
    <c:plotVisOnly val="1"/>
    <c:dispBlanksAs val="gap"/>
    <c:showDLblsOverMax val="0"/>
  </c:chart>
  <c:spPr>
    <a:ln w="28575">
      <a:solidFill>
        <a:sysClr val="windowText" lastClr="000000"/>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1"/>
            <c:invertIfNegative val="0"/>
            <c:bubble3D val="0"/>
            <c:spPr>
              <a:solidFill>
                <a:srgbClr val="FF0000"/>
              </a:solidFill>
            </c:spPr>
            <c:extLst>
              <c:ext xmlns:c16="http://schemas.microsoft.com/office/drawing/2014/chart" uri="{C3380CC4-5D6E-409C-BE32-E72D297353CC}">
                <c16:uniqueId val="{00000001-3544-453C-B0A1-B096755E8955}"/>
              </c:ext>
            </c:extLst>
          </c:dPt>
          <c:dPt>
            <c:idx val="2"/>
            <c:invertIfNegative val="0"/>
            <c:bubble3D val="0"/>
            <c:spPr>
              <a:solidFill>
                <a:srgbClr val="7030A0"/>
              </a:solidFill>
            </c:spPr>
            <c:extLst>
              <c:ext xmlns:c16="http://schemas.microsoft.com/office/drawing/2014/chart" uri="{C3380CC4-5D6E-409C-BE32-E72D297353CC}">
                <c16:uniqueId val="{00000003-3544-453C-B0A1-B096755E8955}"/>
              </c:ext>
            </c:extLst>
          </c:dPt>
          <c:dPt>
            <c:idx val="3"/>
            <c:invertIfNegative val="0"/>
            <c:bubble3D val="0"/>
            <c:spPr>
              <a:solidFill>
                <a:srgbClr val="00B050"/>
              </a:solidFill>
            </c:spPr>
            <c:extLst>
              <c:ext xmlns:c16="http://schemas.microsoft.com/office/drawing/2014/chart" uri="{C3380CC4-5D6E-409C-BE32-E72D297353CC}">
                <c16:uniqueId val="{00000005-3544-453C-B0A1-B096755E8955}"/>
              </c:ext>
            </c:extLst>
          </c:dPt>
          <c:errBars>
            <c:errBarType val="both"/>
            <c:errValType val="cust"/>
            <c:noEndCap val="0"/>
            <c:plus>
              <c:numRef>
                <c:f>Sheet1!$D$108:$D$112</c:f>
                <c:numCache>
                  <c:formatCode>General</c:formatCode>
                  <c:ptCount val="5"/>
                  <c:pt idx="0">
                    <c:v>1.4619692199222254</c:v>
                  </c:pt>
                  <c:pt idx="1">
                    <c:v>2.075070146070034</c:v>
                  </c:pt>
                  <c:pt idx="2">
                    <c:v>0.6831028066436593</c:v>
                  </c:pt>
                  <c:pt idx="3">
                    <c:v>0.83846791497614526</c:v>
                  </c:pt>
                  <c:pt idx="4">
                    <c:v>1.1347381249631554</c:v>
                  </c:pt>
                </c:numCache>
              </c:numRef>
            </c:plus>
            <c:minus>
              <c:numRef>
                <c:f>Sheet1!$D$108:$D$112</c:f>
                <c:numCache>
                  <c:formatCode>General</c:formatCode>
                  <c:ptCount val="5"/>
                  <c:pt idx="0">
                    <c:v>1.4619692199222254</c:v>
                  </c:pt>
                  <c:pt idx="1">
                    <c:v>2.075070146070034</c:v>
                  </c:pt>
                  <c:pt idx="2">
                    <c:v>0.6831028066436593</c:v>
                  </c:pt>
                  <c:pt idx="3">
                    <c:v>0.83846791497614526</c:v>
                  </c:pt>
                  <c:pt idx="4">
                    <c:v>1.1347381249631554</c:v>
                  </c:pt>
                </c:numCache>
              </c:numRef>
            </c:minus>
          </c:errBars>
          <c:cat>
            <c:strRef>
              <c:f>Sheet1!$B$108:$B$112</c:f>
              <c:strCache>
                <c:ptCount val="5"/>
                <c:pt idx="0">
                  <c:v>Control Saline</c:v>
                </c:pt>
                <c:pt idx="1">
                  <c:v>Control Corn Oil</c:v>
                </c:pt>
                <c:pt idx="2">
                  <c:v>Fipronil</c:v>
                </c:pt>
                <c:pt idx="3">
                  <c:v>Chromium</c:v>
                </c:pt>
                <c:pt idx="4">
                  <c:v>Fipronil +chromium</c:v>
                </c:pt>
              </c:strCache>
            </c:strRef>
          </c:cat>
          <c:val>
            <c:numRef>
              <c:f>Sheet1!$C$108:$C$112</c:f>
              <c:numCache>
                <c:formatCode>###0.00</c:formatCode>
                <c:ptCount val="5"/>
                <c:pt idx="0">
                  <c:v>9.9019999999999992</c:v>
                </c:pt>
                <c:pt idx="1">
                  <c:v>11.351666666666668</c:v>
                </c:pt>
                <c:pt idx="2">
                  <c:v>8.0983333333333345</c:v>
                </c:pt>
                <c:pt idx="3">
                  <c:v>8.0180000000000007</c:v>
                </c:pt>
                <c:pt idx="4">
                  <c:v>9.4714285714285715</c:v>
                </c:pt>
              </c:numCache>
            </c:numRef>
          </c:val>
          <c:extLst>
            <c:ext xmlns:c16="http://schemas.microsoft.com/office/drawing/2014/chart" uri="{C3380CC4-5D6E-409C-BE32-E72D297353CC}">
              <c16:uniqueId val="{00000006-3544-453C-B0A1-B096755E8955}"/>
            </c:ext>
          </c:extLst>
        </c:ser>
        <c:dLbls>
          <c:showLegendKey val="0"/>
          <c:showVal val="0"/>
          <c:showCatName val="0"/>
          <c:showSerName val="0"/>
          <c:showPercent val="0"/>
          <c:showBubbleSize val="0"/>
        </c:dLbls>
        <c:gapWidth val="150"/>
        <c:axId val="167980416"/>
        <c:axId val="168011264"/>
      </c:barChart>
      <c:catAx>
        <c:axId val="167980416"/>
        <c:scaling>
          <c:orientation val="minMax"/>
        </c:scaling>
        <c:delete val="0"/>
        <c:axPos val="b"/>
        <c:title>
          <c:tx>
            <c:rich>
              <a:bodyPr/>
              <a:lstStyle/>
              <a:p>
                <a:pPr>
                  <a:defRPr/>
                </a:pPr>
                <a:r>
                  <a:rPr lang="en-US" sz="1200">
                    <a:cs typeface="+mj-cs"/>
                  </a:rPr>
                  <a:t>Experimental Groups</a:t>
                </a:r>
              </a:p>
            </c:rich>
          </c:tx>
          <c:overlay val="0"/>
          <c:spPr>
            <a:ln>
              <a:solidFill>
                <a:sysClr val="windowText" lastClr="000000"/>
              </a:solidFill>
            </a:ln>
          </c:spPr>
        </c:title>
        <c:numFmt formatCode="General" sourceLinked="0"/>
        <c:majorTickMark val="out"/>
        <c:minorTickMark val="none"/>
        <c:tickLblPos val="nextTo"/>
        <c:crossAx val="168011264"/>
        <c:crosses val="autoZero"/>
        <c:auto val="1"/>
        <c:lblAlgn val="ctr"/>
        <c:lblOffset val="100"/>
        <c:noMultiLvlLbl val="0"/>
      </c:catAx>
      <c:valAx>
        <c:axId val="168011264"/>
        <c:scaling>
          <c:orientation val="minMax"/>
        </c:scaling>
        <c:delete val="0"/>
        <c:axPos val="l"/>
        <c:majorGridlines/>
        <c:title>
          <c:tx>
            <c:rich>
              <a:bodyPr rot="-5400000" vert="horz"/>
              <a:lstStyle/>
              <a:p>
                <a:pPr>
                  <a:defRPr/>
                </a:pPr>
                <a:r>
                  <a:rPr lang="en-US" sz="1200" b="1" i="0" u="none" strike="noStrike" baseline="0">
                    <a:effectLst/>
                  </a:rPr>
                  <a:t>WBCs Count (10</a:t>
                </a:r>
                <a:r>
                  <a:rPr lang="en-US" sz="1200" b="1" i="0" u="none" strike="noStrike" baseline="30000">
                    <a:effectLst/>
                  </a:rPr>
                  <a:t>3</a:t>
                </a:r>
                <a:r>
                  <a:rPr lang="en-US" sz="1200" b="1" i="0" u="none" strike="noStrike" baseline="0">
                    <a:effectLst/>
                  </a:rPr>
                  <a:t>/cmm) </a:t>
                </a:r>
                <a:endParaRPr lang="en-US" sz="1200"/>
              </a:p>
            </c:rich>
          </c:tx>
          <c:overlay val="0"/>
          <c:spPr>
            <a:ln>
              <a:solidFill>
                <a:sysClr val="windowText" lastClr="000000"/>
              </a:solidFill>
            </a:ln>
          </c:spPr>
        </c:title>
        <c:numFmt formatCode="###0.00" sourceLinked="1"/>
        <c:majorTickMark val="out"/>
        <c:minorTickMark val="none"/>
        <c:tickLblPos val="nextTo"/>
        <c:crossAx val="167980416"/>
        <c:crosses val="autoZero"/>
        <c:crossBetween val="between"/>
      </c:valAx>
    </c:plotArea>
    <c:plotVisOnly val="1"/>
    <c:dispBlanksAs val="gap"/>
    <c:showDLblsOverMax val="0"/>
  </c:chart>
  <c:spPr>
    <a:ln w="28575">
      <a:solidFill>
        <a:sysClr val="windowText" lastClr="000000"/>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1"/>
            <c:invertIfNegative val="0"/>
            <c:bubble3D val="0"/>
            <c:spPr>
              <a:solidFill>
                <a:srgbClr val="FF0000"/>
              </a:solidFill>
            </c:spPr>
            <c:extLst>
              <c:ext xmlns:c16="http://schemas.microsoft.com/office/drawing/2014/chart" uri="{C3380CC4-5D6E-409C-BE32-E72D297353CC}">
                <c16:uniqueId val="{00000001-B342-4C7F-B2AB-68542F89172F}"/>
              </c:ext>
            </c:extLst>
          </c:dPt>
          <c:dPt>
            <c:idx val="2"/>
            <c:invertIfNegative val="0"/>
            <c:bubble3D val="0"/>
            <c:spPr>
              <a:solidFill>
                <a:srgbClr val="7030A0"/>
              </a:solidFill>
            </c:spPr>
            <c:extLst>
              <c:ext xmlns:c16="http://schemas.microsoft.com/office/drawing/2014/chart" uri="{C3380CC4-5D6E-409C-BE32-E72D297353CC}">
                <c16:uniqueId val="{00000003-B342-4C7F-B2AB-68542F89172F}"/>
              </c:ext>
            </c:extLst>
          </c:dPt>
          <c:dPt>
            <c:idx val="3"/>
            <c:invertIfNegative val="0"/>
            <c:bubble3D val="0"/>
            <c:spPr>
              <a:solidFill>
                <a:srgbClr val="00B050"/>
              </a:solidFill>
            </c:spPr>
            <c:extLst>
              <c:ext xmlns:c16="http://schemas.microsoft.com/office/drawing/2014/chart" uri="{C3380CC4-5D6E-409C-BE32-E72D297353CC}">
                <c16:uniqueId val="{00000005-B342-4C7F-B2AB-68542F89172F}"/>
              </c:ext>
            </c:extLst>
          </c:dPt>
          <c:errBars>
            <c:errBarType val="both"/>
            <c:errValType val="cust"/>
            <c:noEndCap val="0"/>
            <c:plus>
              <c:numRef>
                <c:f>Sheet1!$D$103:$D$107</c:f>
                <c:numCache>
                  <c:formatCode>General</c:formatCode>
                  <c:ptCount val="5"/>
                  <c:pt idx="0">
                    <c:v>0.30397368307141354</c:v>
                  </c:pt>
                  <c:pt idx="1">
                    <c:v>1.2373133978279083</c:v>
                  </c:pt>
                  <c:pt idx="2">
                    <c:v>0.42537565097739743</c:v>
                  </c:pt>
                  <c:pt idx="3">
                    <c:v>0.30769754269050936</c:v>
                  </c:pt>
                  <c:pt idx="4">
                    <c:v>0.41024300082742549</c:v>
                  </c:pt>
                </c:numCache>
              </c:numRef>
            </c:plus>
            <c:minus>
              <c:numRef>
                <c:f>Sheet1!$D$103:$D$107</c:f>
                <c:numCache>
                  <c:formatCode>General</c:formatCode>
                  <c:ptCount val="5"/>
                  <c:pt idx="0">
                    <c:v>0.30397368307141354</c:v>
                  </c:pt>
                  <c:pt idx="1">
                    <c:v>1.2373133978279083</c:v>
                  </c:pt>
                  <c:pt idx="2">
                    <c:v>0.42537565097739743</c:v>
                  </c:pt>
                  <c:pt idx="3">
                    <c:v>0.30769754269050936</c:v>
                  </c:pt>
                  <c:pt idx="4">
                    <c:v>0.41024300082742549</c:v>
                  </c:pt>
                </c:numCache>
              </c:numRef>
            </c:minus>
          </c:errBars>
          <c:cat>
            <c:strRef>
              <c:f>Sheet1!$B$103:$B$107</c:f>
              <c:strCache>
                <c:ptCount val="5"/>
                <c:pt idx="0">
                  <c:v>Control Saline</c:v>
                </c:pt>
                <c:pt idx="1">
                  <c:v>Control Corn Oil</c:v>
                </c:pt>
                <c:pt idx="2">
                  <c:v>Fipronil</c:v>
                </c:pt>
                <c:pt idx="3">
                  <c:v>Chromium</c:v>
                </c:pt>
                <c:pt idx="4">
                  <c:v>Fipronil +chromium</c:v>
                </c:pt>
              </c:strCache>
            </c:strRef>
          </c:cat>
          <c:val>
            <c:numRef>
              <c:f>Sheet1!$C$103:$C$107</c:f>
              <c:numCache>
                <c:formatCode>###0.00</c:formatCode>
                <c:ptCount val="5"/>
                <c:pt idx="0">
                  <c:v>13.479999999999999</c:v>
                </c:pt>
                <c:pt idx="1">
                  <c:v>15.316666666666668</c:v>
                </c:pt>
                <c:pt idx="2">
                  <c:v>14.716666666666667</c:v>
                </c:pt>
                <c:pt idx="3">
                  <c:v>13.729999999999999</c:v>
                </c:pt>
                <c:pt idx="4">
                  <c:v>13.414285714285715</c:v>
                </c:pt>
              </c:numCache>
            </c:numRef>
          </c:val>
          <c:extLst>
            <c:ext xmlns:c16="http://schemas.microsoft.com/office/drawing/2014/chart" uri="{C3380CC4-5D6E-409C-BE32-E72D297353CC}">
              <c16:uniqueId val="{00000006-B342-4C7F-B2AB-68542F89172F}"/>
            </c:ext>
          </c:extLst>
        </c:ser>
        <c:dLbls>
          <c:showLegendKey val="0"/>
          <c:showVal val="0"/>
          <c:showCatName val="0"/>
          <c:showSerName val="0"/>
          <c:showPercent val="0"/>
          <c:showBubbleSize val="0"/>
        </c:dLbls>
        <c:gapWidth val="150"/>
        <c:axId val="167868672"/>
        <c:axId val="167870848"/>
      </c:barChart>
      <c:catAx>
        <c:axId val="167868672"/>
        <c:scaling>
          <c:orientation val="minMax"/>
        </c:scaling>
        <c:delete val="0"/>
        <c:axPos val="b"/>
        <c:title>
          <c:tx>
            <c:rich>
              <a:bodyPr/>
              <a:lstStyle/>
              <a:p>
                <a:pPr>
                  <a:defRPr/>
                </a:pPr>
                <a:r>
                  <a:rPr lang="en-US" sz="1200">
                    <a:cs typeface="+mj-cs"/>
                  </a:rPr>
                  <a:t>Experimental Groups</a:t>
                </a:r>
              </a:p>
            </c:rich>
          </c:tx>
          <c:overlay val="0"/>
          <c:spPr>
            <a:ln>
              <a:solidFill>
                <a:sysClr val="windowText" lastClr="000000"/>
              </a:solidFill>
            </a:ln>
          </c:spPr>
        </c:title>
        <c:numFmt formatCode="General" sourceLinked="0"/>
        <c:majorTickMark val="out"/>
        <c:minorTickMark val="none"/>
        <c:tickLblPos val="nextTo"/>
        <c:crossAx val="167870848"/>
        <c:crosses val="autoZero"/>
        <c:auto val="1"/>
        <c:lblAlgn val="ctr"/>
        <c:lblOffset val="100"/>
        <c:noMultiLvlLbl val="0"/>
      </c:catAx>
      <c:valAx>
        <c:axId val="167870848"/>
        <c:scaling>
          <c:orientation val="minMax"/>
        </c:scaling>
        <c:delete val="0"/>
        <c:axPos val="l"/>
        <c:majorGridlines/>
        <c:title>
          <c:tx>
            <c:rich>
              <a:bodyPr rot="-5400000" vert="horz"/>
              <a:lstStyle/>
              <a:p>
                <a:pPr>
                  <a:defRPr/>
                </a:pPr>
                <a:r>
                  <a:rPr lang="en-US" sz="1200" b="1" i="0" u="none" strike="noStrike" baseline="0">
                    <a:effectLst/>
                  </a:rPr>
                  <a:t>HB Concentration (g/dL)</a:t>
                </a:r>
                <a:endParaRPr lang="en-US" sz="1200"/>
              </a:p>
            </c:rich>
          </c:tx>
          <c:overlay val="0"/>
          <c:spPr>
            <a:ln>
              <a:solidFill>
                <a:sysClr val="windowText" lastClr="000000"/>
              </a:solidFill>
            </a:ln>
          </c:spPr>
        </c:title>
        <c:numFmt formatCode="###0.00" sourceLinked="1"/>
        <c:majorTickMark val="out"/>
        <c:minorTickMark val="none"/>
        <c:tickLblPos val="nextTo"/>
        <c:crossAx val="167868672"/>
        <c:crosses val="autoZero"/>
        <c:crossBetween val="between"/>
      </c:valAx>
    </c:plotArea>
    <c:plotVisOnly val="1"/>
    <c:dispBlanksAs val="gap"/>
    <c:showDLblsOverMax val="0"/>
  </c:chart>
  <c:spPr>
    <a:ln w="28575">
      <a:solidFill>
        <a:sysClr val="windowText" lastClr="000000"/>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0.225</cdr:x>
      <cdr:y>0.04135</cdr:y>
    </cdr:from>
    <cdr:to>
      <cdr:x>0.2875</cdr:x>
      <cdr:y>0.13857</cdr:y>
    </cdr:to>
    <cdr:sp macro="" textlink="">
      <cdr:nvSpPr>
        <cdr:cNvPr id="2" name="TextBox 1"/>
        <cdr:cNvSpPr txBox="1"/>
      </cdr:nvSpPr>
      <cdr:spPr>
        <a:xfrm xmlns:a="http://schemas.openxmlformats.org/drawingml/2006/main">
          <a:off x="1028700" y="131556"/>
          <a:ext cx="285750" cy="309291"/>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100" b="1"/>
            <a:t>a</a:t>
          </a:r>
          <a:endParaRPr lang="ar-EG" sz="1100" b="1"/>
        </a:p>
      </cdr:txBody>
    </cdr:sp>
  </cdr:relSizeAnchor>
  <cdr:relSizeAnchor xmlns:cdr="http://schemas.openxmlformats.org/drawingml/2006/chartDrawing">
    <cdr:from>
      <cdr:x>0.38404</cdr:x>
      <cdr:y>0.08188</cdr:y>
    </cdr:from>
    <cdr:to>
      <cdr:x>0.44654</cdr:x>
      <cdr:y>0.1791</cdr:y>
    </cdr:to>
    <cdr:sp macro="" textlink="">
      <cdr:nvSpPr>
        <cdr:cNvPr id="3" name="TextBox 1"/>
        <cdr:cNvSpPr txBox="1"/>
      </cdr:nvSpPr>
      <cdr:spPr>
        <a:xfrm xmlns:a="http://schemas.openxmlformats.org/drawingml/2006/main">
          <a:off x="1755831" y="260497"/>
          <a:ext cx="285750" cy="30929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0.54444</cdr:x>
      <cdr:y>0.13516</cdr:y>
    </cdr:from>
    <cdr:to>
      <cdr:x>0.60694</cdr:x>
      <cdr:y>0.23238</cdr:y>
    </cdr:to>
    <cdr:sp macro="" textlink="">
      <cdr:nvSpPr>
        <cdr:cNvPr id="4" name="TextBox 1"/>
        <cdr:cNvSpPr txBox="1"/>
      </cdr:nvSpPr>
      <cdr:spPr>
        <a:xfrm xmlns:a="http://schemas.openxmlformats.org/drawingml/2006/main">
          <a:off x="2489180" y="429978"/>
          <a:ext cx="285750" cy="30929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0.86736</cdr:x>
      <cdr:y>0.13307</cdr:y>
    </cdr:from>
    <cdr:to>
      <cdr:x>0.92986</cdr:x>
      <cdr:y>0.2303</cdr:y>
    </cdr:to>
    <cdr:sp macro="" textlink="">
      <cdr:nvSpPr>
        <cdr:cNvPr id="5" name="TextBox 1"/>
        <cdr:cNvSpPr txBox="1"/>
      </cdr:nvSpPr>
      <cdr:spPr>
        <a:xfrm xmlns:a="http://schemas.openxmlformats.org/drawingml/2006/main">
          <a:off x="3965570" y="423337"/>
          <a:ext cx="285750" cy="309323"/>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0.70695</cdr:x>
      <cdr:y>0.13573</cdr:y>
    </cdr:from>
    <cdr:to>
      <cdr:x>0.76945</cdr:x>
      <cdr:y>0.23296</cdr:y>
    </cdr:to>
    <cdr:sp macro="" textlink="">
      <cdr:nvSpPr>
        <cdr:cNvPr id="6" name="TextBox 1"/>
        <cdr:cNvSpPr txBox="1"/>
      </cdr:nvSpPr>
      <cdr:spPr>
        <a:xfrm xmlns:a="http://schemas.openxmlformats.org/drawingml/2006/main">
          <a:off x="3232160" y="431807"/>
          <a:ext cx="285750" cy="309323"/>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0.21944</cdr:x>
      <cdr:y>0.14913</cdr:y>
    </cdr:from>
    <cdr:to>
      <cdr:x>0.28194</cdr:x>
      <cdr:y>0.24635</cdr:y>
    </cdr:to>
    <cdr:sp macro="" textlink="">
      <cdr:nvSpPr>
        <cdr:cNvPr id="2" name="TextBox 1"/>
        <cdr:cNvSpPr txBox="1"/>
      </cdr:nvSpPr>
      <cdr:spPr>
        <a:xfrm xmlns:a="http://schemas.openxmlformats.org/drawingml/2006/main">
          <a:off x="1003300" y="474449"/>
          <a:ext cx="285750" cy="309291"/>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100" b="1"/>
            <a:t>a</a:t>
          </a:r>
          <a:endParaRPr lang="ar-EG" sz="1100" b="1"/>
        </a:p>
      </cdr:txBody>
    </cdr:sp>
  </cdr:relSizeAnchor>
  <cdr:relSizeAnchor xmlns:cdr="http://schemas.openxmlformats.org/drawingml/2006/chartDrawing">
    <cdr:from>
      <cdr:x>0.38404</cdr:x>
      <cdr:y>0.04994</cdr:y>
    </cdr:from>
    <cdr:to>
      <cdr:x>0.44654</cdr:x>
      <cdr:y>0.14716</cdr:y>
    </cdr:to>
    <cdr:sp macro="" textlink="">
      <cdr:nvSpPr>
        <cdr:cNvPr id="3" name="TextBox 1"/>
        <cdr:cNvSpPr txBox="1"/>
      </cdr:nvSpPr>
      <cdr:spPr>
        <a:xfrm xmlns:a="http://schemas.openxmlformats.org/drawingml/2006/main">
          <a:off x="1755831" y="158889"/>
          <a:ext cx="285750" cy="30929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0.54166</cdr:x>
      <cdr:y>0.2669</cdr:y>
    </cdr:from>
    <cdr:to>
      <cdr:x>0.60416</cdr:x>
      <cdr:y>0.36412</cdr:y>
    </cdr:to>
    <cdr:sp macro="" textlink="">
      <cdr:nvSpPr>
        <cdr:cNvPr id="4" name="TextBox 1"/>
        <cdr:cNvSpPr txBox="1"/>
      </cdr:nvSpPr>
      <cdr:spPr>
        <a:xfrm xmlns:a="http://schemas.openxmlformats.org/drawingml/2006/main">
          <a:off x="2476480" y="849091"/>
          <a:ext cx="285750" cy="30929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0.85625</cdr:x>
      <cdr:y>0.18097</cdr:y>
    </cdr:from>
    <cdr:to>
      <cdr:x>0.91875</cdr:x>
      <cdr:y>0.2782</cdr:y>
    </cdr:to>
    <cdr:sp macro="" textlink="">
      <cdr:nvSpPr>
        <cdr:cNvPr id="5" name="TextBox 1"/>
        <cdr:cNvSpPr txBox="1"/>
      </cdr:nvSpPr>
      <cdr:spPr>
        <a:xfrm xmlns:a="http://schemas.openxmlformats.org/drawingml/2006/main">
          <a:off x="3914770" y="575742"/>
          <a:ext cx="285750" cy="309323"/>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0.70139</cdr:x>
      <cdr:y>0.25948</cdr:y>
    </cdr:from>
    <cdr:to>
      <cdr:x>0.76389</cdr:x>
      <cdr:y>0.35671</cdr:y>
    </cdr:to>
    <cdr:sp macro="" textlink="">
      <cdr:nvSpPr>
        <cdr:cNvPr id="6" name="TextBox 1"/>
        <cdr:cNvSpPr txBox="1"/>
      </cdr:nvSpPr>
      <cdr:spPr>
        <a:xfrm xmlns:a="http://schemas.openxmlformats.org/drawingml/2006/main">
          <a:off x="3206775" y="825505"/>
          <a:ext cx="285750" cy="309322"/>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userShapes>
</file>

<file path=word/drawings/drawing3.xml><?xml version="1.0" encoding="utf-8"?>
<c:userShapes xmlns:c="http://schemas.openxmlformats.org/drawingml/2006/chart">
  <cdr:relSizeAnchor xmlns:cdr="http://schemas.openxmlformats.org/drawingml/2006/chartDrawing">
    <cdr:from>
      <cdr:x>0.22708</cdr:x>
      <cdr:y>0.11321</cdr:y>
    </cdr:from>
    <cdr:to>
      <cdr:x>0.28958</cdr:x>
      <cdr:y>0.21043</cdr:y>
    </cdr:to>
    <cdr:sp macro="" textlink="">
      <cdr:nvSpPr>
        <cdr:cNvPr id="2" name="TextBox 1"/>
        <cdr:cNvSpPr txBox="1"/>
      </cdr:nvSpPr>
      <cdr:spPr>
        <a:xfrm xmlns:a="http://schemas.openxmlformats.org/drawingml/2006/main">
          <a:off x="1038225" y="360149"/>
          <a:ext cx="285750" cy="309291"/>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100" b="1"/>
            <a:t>a</a:t>
          </a:r>
          <a:endParaRPr lang="ar-EG" sz="1100" b="1"/>
        </a:p>
      </cdr:txBody>
    </cdr:sp>
  </cdr:relSizeAnchor>
  <cdr:relSizeAnchor xmlns:cdr="http://schemas.openxmlformats.org/drawingml/2006/chartDrawing">
    <cdr:from>
      <cdr:x>0.38404</cdr:x>
      <cdr:y>0.01601</cdr:y>
    </cdr:from>
    <cdr:to>
      <cdr:x>0.44654</cdr:x>
      <cdr:y>0.11323</cdr:y>
    </cdr:to>
    <cdr:sp macro="" textlink="">
      <cdr:nvSpPr>
        <cdr:cNvPr id="3" name="TextBox 1"/>
        <cdr:cNvSpPr txBox="1"/>
      </cdr:nvSpPr>
      <cdr:spPr>
        <a:xfrm xmlns:a="http://schemas.openxmlformats.org/drawingml/2006/main">
          <a:off x="1755831" y="50939"/>
          <a:ext cx="285750" cy="30929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0.54444</cdr:x>
      <cdr:y>0.06031</cdr:y>
    </cdr:from>
    <cdr:to>
      <cdr:x>0.60694</cdr:x>
      <cdr:y>0.15753</cdr:y>
    </cdr:to>
    <cdr:sp macro="" textlink="">
      <cdr:nvSpPr>
        <cdr:cNvPr id="4" name="TextBox 1"/>
        <cdr:cNvSpPr txBox="1"/>
      </cdr:nvSpPr>
      <cdr:spPr>
        <a:xfrm xmlns:a="http://schemas.openxmlformats.org/drawingml/2006/main">
          <a:off x="2489180" y="191866"/>
          <a:ext cx="285750" cy="30929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0.85694</cdr:x>
      <cdr:y>0.11211</cdr:y>
    </cdr:from>
    <cdr:to>
      <cdr:x>0.91944</cdr:x>
      <cdr:y>0.20934</cdr:y>
    </cdr:to>
    <cdr:sp macro="" textlink="">
      <cdr:nvSpPr>
        <cdr:cNvPr id="5" name="TextBox 1"/>
        <cdr:cNvSpPr txBox="1"/>
      </cdr:nvSpPr>
      <cdr:spPr>
        <a:xfrm xmlns:a="http://schemas.openxmlformats.org/drawingml/2006/main">
          <a:off x="3917945" y="356667"/>
          <a:ext cx="285750" cy="309323"/>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dr:relSizeAnchor xmlns:cdr="http://schemas.openxmlformats.org/drawingml/2006/chartDrawing">
    <cdr:from>
      <cdr:x>0.70278</cdr:x>
      <cdr:y>0.09681</cdr:y>
    </cdr:from>
    <cdr:to>
      <cdr:x>0.76528</cdr:x>
      <cdr:y>0.19404</cdr:y>
    </cdr:to>
    <cdr:sp macro="" textlink="">
      <cdr:nvSpPr>
        <cdr:cNvPr id="6" name="TextBox 1"/>
        <cdr:cNvSpPr txBox="1"/>
      </cdr:nvSpPr>
      <cdr:spPr>
        <a:xfrm xmlns:a="http://schemas.openxmlformats.org/drawingml/2006/main">
          <a:off x="3213125" y="307980"/>
          <a:ext cx="285750" cy="309322"/>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a</a:t>
          </a:r>
          <a:endParaRPr lang="ar-EG"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96F6-2EBF-41D7-B7D0-ED99AD9E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16</Pages>
  <Words>21054</Words>
  <Characters>120008</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54</cp:revision>
  <dcterms:created xsi:type="dcterms:W3CDTF">2020-06-03T17:06:00Z</dcterms:created>
  <dcterms:modified xsi:type="dcterms:W3CDTF">2020-06-07T05:02:00Z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http://www.zotero.org/styles/environmental-science-and-pollution-research</vt:lpwstr>
  </property>
  <property fmtid="{D5CDD505-2E9C-101B-9397-08002B2CF9AE}" pid="13" name="Mendeley Recent Style Name 5_1">
    <vt:lpwstr>Environmental Science and Pollution Research</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36ee8f6e-4a56-371f-bd2e-b600d8b9f110</vt:lpwstr>
  </property>
  <property fmtid="{D5CDD505-2E9C-101B-9397-08002B2CF9AE}" pid="24" name="Mendeley Citation Style_1">
    <vt:lpwstr>http://www.zotero.org/styles/apa</vt:lpwstr>
  </property>
</Properties>
</file>